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CC60" w14:textId="77777777" w:rsidR="00B84655" w:rsidRDefault="007F6976">
      <w:pPr>
        <w:pStyle w:val="Titre"/>
      </w:pPr>
      <w:r>
        <w:t>MINISTERE DE LA COMMUNAUTE FRANCAISE</w:t>
      </w:r>
    </w:p>
    <w:p w14:paraId="28376CCC" w14:textId="77777777" w:rsidR="00B84655" w:rsidRDefault="00B84655">
      <w:pPr>
        <w:jc w:val="center"/>
        <w:rPr>
          <w:b/>
        </w:rPr>
      </w:pPr>
    </w:p>
    <w:p w14:paraId="71559391" w14:textId="77777777" w:rsidR="00B84655" w:rsidRDefault="007F69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ADMINISTRATION GENERALE DE L’ENSEIGNEMENT</w:t>
      </w:r>
    </w:p>
    <w:p w14:paraId="7B0B0A1F" w14:textId="77777777" w:rsidR="00B84655" w:rsidRDefault="00B84655">
      <w:pPr>
        <w:jc w:val="center"/>
      </w:pPr>
    </w:p>
    <w:p w14:paraId="71904F8E" w14:textId="77777777" w:rsidR="00B84655" w:rsidRDefault="007F6976">
      <w:pPr>
        <w:jc w:val="center"/>
        <w:rPr>
          <w:b/>
        </w:rPr>
      </w:pPr>
      <w:r>
        <w:rPr>
          <w:b/>
        </w:rPr>
        <w:t>ENSEIGNEMENT DE PROMOTION SOCIALE</w:t>
      </w:r>
    </w:p>
    <w:p w14:paraId="4848E403" w14:textId="77777777" w:rsidR="00B84655" w:rsidRDefault="00B84655"/>
    <w:p w14:paraId="2F601072" w14:textId="77777777" w:rsidR="00B84655" w:rsidRDefault="00B84655"/>
    <w:p w14:paraId="1363B896" w14:textId="77777777" w:rsidR="00B84655" w:rsidRDefault="00B84655"/>
    <w:p w14:paraId="73AD1DCB" w14:textId="77777777" w:rsidR="00B84655" w:rsidRDefault="00B84655"/>
    <w:p w14:paraId="535CE3A4" w14:textId="77777777" w:rsidR="00B84655" w:rsidRDefault="00B84655"/>
    <w:p w14:paraId="2D95DDD3" w14:textId="77777777" w:rsidR="00B84655" w:rsidRDefault="00B84655"/>
    <w:p w14:paraId="696BB9EC" w14:textId="77777777" w:rsidR="00B84655" w:rsidRDefault="00B84655"/>
    <w:p w14:paraId="64C87D81" w14:textId="77777777" w:rsidR="00B84655" w:rsidRDefault="00B84655"/>
    <w:p w14:paraId="7A83B7D8" w14:textId="77777777" w:rsidR="00B84655" w:rsidRDefault="00B84655"/>
    <w:p w14:paraId="2A30CE95" w14:textId="77777777" w:rsidR="00B84655" w:rsidRDefault="00B84655"/>
    <w:p w14:paraId="2D72005F" w14:textId="77777777" w:rsidR="00B84655" w:rsidRDefault="00B84655"/>
    <w:p w14:paraId="098518FA" w14:textId="77777777" w:rsidR="00B84655" w:rsidRDefault="00B84655"/>
    <w:p w14:paraId="521BE7D7" w14:textId="77777777" w:rsidR="00B84655" w:rsidRDefault="00B84655"/>
    <w:p w14:paraId="139A05B7" w14:textId="77777777" w:rsidR="00B84655" w:rsidRDefault="00B84655"/>
    <w:p w14:paraId="16D9F275" w14:textId="77777777" w:rsidR="00B84655" w:rsidRDefault="00B84655"/>
    <w:p w14:paraId="42373617" w14:textId="77777777" w:rsidR="00B84655" w:rsidRDefault="00B84655"/>
    <w:p w14:paraId="5B22E40D" w14:textId="77777777" w:rsidR="00B84655" w:rsidRDefault="00B84655"/>
    <w:p w14:paraId="64939C70" w14:textId="77777777" w:rsidR="00B84655" w:rsidRDefault="00B84655"/>
    <w:p w14:paraId="0DE56D1A" w14:textId="77777777" w:rsidR="00B84655" w:rsidRDefault="00B84655"/>
    <w:p w14:paraId="35972DF3" w14:textId="77777777" w:rsidR="00B84655" w:rsidRDefault="00B84655"/>
    <w:p w14:paraId="03CAA344" w14:textId="77777777" w:rsidR="00B84655" w:rsidRDefault="00B84655"/>
    <w:p w14:paraId="0FE60EF8" w14:textId="77777777" w:rsidR="00B84655" w:rsidRDefault="00B84655">
      <w:pPr>
        <w:ind w:left="2269" w:right="2602"/>
        <w:jc w:val="center"/>
        <w:rPr>
          <w:b/>
          <w:sz w:val="28"/>
        </w:rPr>
      </w:pPr>
    </w:p>
    <w:p w14:paraId="07D8FA77" w14:textId="77777777" w:rsidR="00B84655" w:rsidRDefault="007F6976">
      <w:pPr>
        <w:ind w:left="2269" w:right="2602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14:paraId="2A0D6DD1" w14:textId="77777777" w:rsidR="00B84655" w:rsidRDefault="00B84655">
      <w:pPr>
        <w:ind w:left="2269" w:right="2602"/>
        <w:jc w:val="center"/>
        <w:rPr>
          <w:b/>
          <w:sz w:val="28"/>
        </w:rPr>
      </w:pPr>
    </w:p>
    <w:p w14:paraId="603AA272" w14:textId="77777777" w:rsidR="00B84655" w:rsidRDefault="00B84655"/>
    <w:p w14:paraId="4476E01B" w14:textId="77777777" w:rsidR="00B84655" w:rsidRDefault="00B84655"/>
    <w:p w14:paraId="1F804CD8" w14:textId="77777777" w:rsidR="00B84655" w:rsidRDefault="007F6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 D’ENSEIGNEMENT</w:t>
      </w:r>
    </w:p>
    <w:p w14:paraId="1810B690" w14:textId="77777777" w:rsidR="00B84655" w:rsidRDefault="00B84655">
      <w:pPr>
        <w:jc w:val="center"/>
      </w:pPr>
    </w:p>
    <w:p w14:paraId="54387FB6" w14:textId="77777777" w:rsidR="00B84655" w:rsidRDefault="00B84655">
      <w:pPr>
        <w:jc w:val="center"/>
      </w:pPr>
    </w:p>
    <w:p w14:paraId="16885B50" w14:textId="77777777" w:rsidR="00B84655" w:rsidRDefault="007F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Formation complémentaire des </w:t>
      </w:r>
      <w:r>
        <w:rPr>
          <w:b/>
          <w:sz w:val="28"/>
          <w:szCs w:val="28"/>
        </w:rPr>
        <w:t>Secouristes-ambulanciers (AMU) en vue de l’obtention du titre d’Ambulancier de Transport Non Urgent de Patients (ATNUP) (Convention)</w:t>
      </w:r>
    </w:p>
    <w:p w14:paraId="0823B8A6" w14:textId="77777777" w:rsidR="00B84655" w:rsidRDefault="00B84655">
      <w:pPr>
        <w:jc w:val="center"/>
        <w:rPr>
          <w:b/>
        </w:rPr>
      </w:pPr>
    </w:p>
    <w:p w14:paraId="5D6F6EB3" w14:textId="77777777" w:rsidR="00B84655" w:rsidRDefault="007F6976">
      <w:pPr>
        <w:pStyle w:val="Titre5"/>
      </w:pPr>
      <w:r>
        <w:t xml:space="preserve">ENSEIGNEMENT SECONDAIRE SUPERIEUR DE TRANSITION </w:t>
      </w:r>
    </w:p>
    <w:p w14:paraId="16F6C44A" w14:textId="77777777" w:rsidR="00B84655" w:rsidRDefault="00B84655">
      <w:pPr>
        <w:jc w:val="center"/>
      </w:pPr>
    </w:p>
    <w:p w14:paraId="13D4F6A5" w14:textId="77777777" w:rsidR="00B84655" w:rsidRDefault="00B84655">
      <w:pPr>
        <w:jc w:val="center"/>
      </w:pPr>
    </w:p>
    <w:p w14:paraId="6C06CE69" w14:textId="77777777" w:rsidR="00B84655" w:rsidRDefault="00B84655">
      <w:pPr>
        <w:jc w:val="center"/>
      </w:pPr>
    </w:p>
    <w:p w14:paraId="5C29945E" w14:textId="77777777" w:rsidR="00B84655" w:rsidRDefault="00B84655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B84655" w14:paraId="725E148A" w14:textId="77777777">
        <w:trPr>
          <w:jc w:val="center"/>
        </w:trPr>
        <w:tc>
          <w:tcPr>
            <w:tcW w:w="5529" w:type="dxa"/>
          </w:tcPr>
          <w:p w14:paraId="422DCEAA" w14:textId="77777777" w:rsidR="00B84655" w:rsidRDefault="007F6976">
            <w:pPr>
              <w:jc w:val="center"/>
              <w:rPr>
                <w:b/>
                <w:lang w:val="nl-NL"/>
              </w:rPr>
            </w:pPr>
            <w:proofErr w:type="gramStart"/>
            <w:r>
              <w:rPr>
                <w:b/>
                <w:lang w:val="nl-NL"/>
              </w:rPr>
              <w:t>CODE :</w:t>
            </w:r>
            <w:proofErr w:type="gramEnd"/>
            <w:r>
              <w:rPr>
                <w:b/>
                <w:lang w:val="nl-NL"/>
              </w:rPr>
              <w:t xml:space="preserve"> </w:t>
            </w:r>
            <w:r>
              <w:rPr>
                <w:b/>
              </w:rPr>
              <w:t xml:space="preserve"> 824133U21V1</w:t>
            </w:r>
          </w:p>
        </w:tc>
      </w:tr>
      <w:tr w:rsidR="00B84655" w14:paraId="2155EFCE" w14:textId="77777777">
        <w:trPr>
          <w:jc w:val="center"/>
        </w:trPr>
        <w:tc>
          <w:tcPr>
            <w:tcW w:w="5529" w:type="dxa"/>
          </w:tcPr>
          <w:p w14:paraId="1E46E899" w14:textId="77777777" w:rsidR="00B84655" w:rsidRDefault="007F6976">
            <w:pPr>
              <w:jc w:val="center"/>
              <w:rPr>
                <w:b/>
              </w:rPr>
            </w:pPr>
            <w:r>
              <w:rPr>
                <w:b/>
              </w:rPr>
              <w:t>DOMAINE DE FORMATION : 803</w:t>
            </w:r>
          </w:p>
        </w:tc>
      </w:tr>
      <w:tr w:rsidR="00B84655" w14:paraId="0F1FB338" w14:textId="77777777">
        <w:trPr>
          <w:jc w:val="center"/>
        </w:trPr>
        <w:tc>
          <w:tcPr>
            <w:tcW w:w="5529" w:type="dxa"/>
          </w:tcPr>
          <w:p w14:paraId="78DD6A7B" w14:textId="77777777" w:rsidR="00B84655" w:rsidRDefault="007F6976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 DE </w:t>
            </w:r>
            <w:r>
              <w:rPr>
                <w:b/>
              </w:rPr>
              <w:t>REFERENCE INTER-RESEAUX</w:t>
            </w:r>
          </w:p>
          <w:p w14:paraId="614AD6CF" w14:textId="77777777" w:rsidR="00B84655" w:rsidRDefault="00B84655">
            <w:pPr>
              <w:jc w:val="center"/>
            </w:pPr>
          </w:p>
        </w:tc>
      </w:tr>
      <w:tr w:rsidR="00B84655" w14:paraId="6A77AB5C" w14:textId="77777777">
        <w:trPr>
          <w:jc w:val="center"/>
        </w:trPr>
        <w:tc>
          <w:tcPr>
            <w:tcW w:w="5529" w:type="dxa"/>
          </w:tcPr>
          <w:p w14:paraId="4E2B3406" w14:textId="77777777" w:rsidR="00B84655" w:rsidRDefault="00B84655">
            <w:pPr>
              <w:jc w:val="center"/>
              <w:rPr>
                <w:b/>
              </w:rPr>
            </w:pPr>
          </w:p>
        </w:tc>
      </w:tr>
    </w:tbl>
    <w:p w14:paraId="0BF5D8D1" w14:textId="77777777" w:rsidR="00B84655" w:rsidRDefault="00B84655">
      <w:pPr>
        <w:jc w:val="center"/>
      </w:pPr>
    </w:p>
    <w:p w14:paraId="718B8F15" w14:textId="77777777" w:rsidR="00B84655" w:rsidRDefault="007F6976">
      <w:pPr>
        <w:jc w:val="center"/>
        <w:rPr>
          <w:b/>
        </w:rPr>
      </w:pPr>
      <w:r>
        <w:rPr>
          <w:b/>
        </w:rPr>
        <w:t>Approbation du Gouvernement de la Communauté française du 23 décembre 2021,  </w:t>
      </w:r>
    </w:p>
    <w:p w14:paraId="11FD0B92" w14:textId="77777777" w:rsidR="00B84655" w:rsidRDefault="007F6976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 w14:paraId="33B1AC18" w14:textId="77777777" w:rsidR="00B84655" w:rsidRDefault="007F6976"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4655" w14:paraId="062FE2CD" w14:textId="77777777">
        <w:tc>
          <w:tcPr>
            <w:tcW w:w="9212" w:type="dxa"/>
          </w:tcPr>
          <w:p w14:paraId="4223D635" w14:textId="77777777" w:rsidR="00B84655" w:rsidRDefault="007F69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14:paraId="73DD7FA6" w14:textId="77777777" w:rsidR="00B84655" w:rsidRDefault="007F6976">
            <w:pPr>
              <w:jc w:val="center"/>
              <w:rPr>
                <w:b/>
                <w:sz w:val="28"/>
                <w:szCs w:val="28"/>
              </w:rPr>
            </w:pPr>
            <w:bookmarkStart w:id="0" w:name="_Hlk88749515"/>
            <w:r>
              <w:rPr>
                <w:b/>
                <w:sz w:val="28"/>
                <w:szCs w:val="28"/>
              </w:rPr>
              <w:t xml:space="preserve">Formation complémentaire des Secouristes-ambulanciers (AMU) en vue de l’obtention du titre d’Ambulancier de </w:t>
            </w:r>
            <w:r>
              <w:rPr>
                <w:b/>
                <w:sz w:val="28"/>
                <w:szCs w:val="28"/>
              </w:rPr>
              <w:t>Transport Non Urgent de Patients (ATNUP) (Convention)</w:t>
            </w:r>
          </w:p>
          <w:bookmarkEnd w:id="0"/>
          <w:p w14:paraId="1376FFB0" w14:textId="77777777" w:rsidR="00B84655" w:rsidRDefault="00B84655">
            <w:pPr>
              <w:jc w:val="center"/>
              <w:rPr>
                <w:b/>
                <w:sz w:val="28"/>
              </w:rPr>
            </w:pPr>
          </w:p>
          <w:p w14:paraId="573BCA7E" w14:textId="77777777" w:rsidR="00B84655" w:rsidRDefault="007F6976">
            <w:pPr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ENSEIGNEMENT SECONDAIRE SUPERIEUR DE TRANSITION </w:t>
            </w:r>
          </w:p>
          <w:p w14:paraId="2BD42F86" w14:textId="77777777" w:rsidR="00B84655" w:rsidRDefault="00B84655">
            <w:pPr>
              <w:jc w:val="center"/>
              <w:rPr>
                <w:b/>
              </w:rPr>
            </w:pPr>
          </w:p>
        </w:tc>
      </w:tr>
    </w:tbl>
    <w:p w14:paraId="761C9202" w14:textId="77777777" w:rsidR="00B84655" w:rsidRDefault="00B84655"/>
    <w:p w14:paraId="411A5821" w14:textId="77777777" w:rsidR="00B84655" w:rsidRDefault="007F6976"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FINALITES DE L’UNITE D’ENSEIGNEMENT</w:t>
      </w:r>
    </w:p>
    <w:p w14:paraId="2AB3B824" w14:textId="77777777" w:rsidR="00B84655" w:rsidRDefault="007F6976"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Finalités générales</w:t>
      </w:r>
    </w:p>
    <w:p w14:paraId="4BAC01DD" w14:textId="77777777" w:rsidR="00B84655" w:rsidRDefault="007F6976">
      <w:pPr>
        <w:pStyle w:val="Retraitcorpsdetexte2"/>
        <w:ind w:left="851"/>
      </w:pPr>
      <w:r>
        <w:t xml:space="preserve">Conformément à l’article 7 du décret de la Communauté française du 16 avril 1991 </w:t>
      </w:r>
      <w:r>
        <w:t>organisant l’Enseignement de promotion sociale, cette unité d’enseignement doit :</w:t>
      </w:r>
    </w:p>
    <w:p w14:paraId="20D04B63" w14:textId="77777777" w:rsidR="00B84655" w:rsidRDefault="007F6976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concourir à l’épanouissement individuel en promouvant une meilleure insertion professionnelle, sociale et culturelle ;</w:t>
      </w:r>
    </w:p>
    <w:p w14:paraId="71E8CF1B" w14:textId="77777777" w:rsidR="00B84655" w:rsidRDefault="007F6976"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 xml:space="preserve">répondre aux besoins et demandes en formation </w:t>
      </w:r>
      <w:r>
        <w:t>émanant des entreprises, des administrations, de l’enseignement et d’une manière générale des milieux socio-économiques et culturels.</w:t>
      </w:r>
    </w:p>
    <w:p w14:paraId="0B5E3D37" w14:textId="77777777" w:rsidR="00B84655" w:rsidRDefault="007F6976"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Finalités particulières</w:t>
      </w:r>
    </w:p>
    <w:p w14:paraId="395F2AF1" w14:textId="77777777" w:rsidR="00B84655" w:rsidRDefault="007F6976">
      <w:pPr>
        <w:pStyle w:val="Retraitcorpsdetexte2"/>
        <w:spacing w:line="276" w:lineRule="auto"/>
        <w:ind w:left="851"/>
      </w:pPr>
      <w:r>
        <w:t>Cette</w:t>
      </w:r>
      <w:r>
        <w:rPr>
          <w:color w:val="000000"/>
        </w:rPr>
        <w:t xml:space="preserve"> unité d’enseignement vise à permettre au secouriste-ambulancier</w:t>
      </w:r>
      <w:r>
        <w:t xml:space="preserve"> de compléter ses connaissanc</w:t>
      </w:r>
      <w:r>
        <w:t>es techniques et pratiques pour la prise en charge, le conditionnement, la surveillance des patients dans le cadre de transports non urgents de patients selon la législation en vigueur.</w:t>
      </w:r>
    </w:p>
    <w:p w14:paraId="12FF2FBA" w14:textId="77777777" w:rsidR="00B84655" w:rsidRDefault="00B84655">
      <w:pPr>
        <w:pStyle w:val="Retraitcorpsdetexte2"/>
        <w:ind w:left="851"/>
      </w:pPr>
    </w:p>
    <w:p w14:paraId="62D6B3AE" w14:textId="77777777" w:rsidR="00B84655" w:rsidRDefault="00B84655">
      <w:pPr>
        <w:pStyle w:val="Retraitcorpsdetexte2"/>
      </w:pPr>
    </w:p>
    <w:p w14:paraId="61B8147E" w14:textId="77777777" w:rsidR="00B84655" w:rsidRDefault="007F6976"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CAPACITES PREALABLES REQUISES</w:t>
      </w:r>
    </w:p>
    <w:p w14:paraId="6DF71065" w14:textId="77777777" w:rsidR="00B84655" w:rsidRDefault="007F6976">
      <w:pPr>
        <w:numPr>
          <w:ilvl w:val="1"/>
          <w:numId w:val="1"/>
        </w:numPr>
        <w:tabs>
          <w:tab w:val="clear" w:pos="1080"/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>Titre</w:t>
      </w:r>
    </w:p>
    <w:p w14:paraId="3A3CDEBD" w14:textId="77777777" w:rsidR="00B84655" w:rsidRDefault="007F6976">
      <w:pPr>
        <w:ind w:left="426" w:firstLine="425"/>
        <w:jc w:val="both"/>
      </w:pPr>
      <w:r>
        <w:t xml:space="preserve">Titre de </w:t>
      </w:r>
      <w:r>
        <w:t>Secouriste-ambulancier (AMU) en ordre de validité.</w:t>
      </w:r>
    </w:p>
    <w:p w14:paraId="4C39CFCD" w14:textId="77777777" w:rsidR="00B84655" w:rsidRDefault="00B84655">
      <w:pPr>
        <w:ind w:left="426" w:firstLine="425"/>
        <w:jc w:val="both"/>
      </w:pPr>
    </w:p>
    <w:p w14:paraId="60E5CED3" w14:textId="77777777" w:rsidR="00B84655" w:rsidRDefault="007F6976">
      <w:pPr>
        <w:jc w:val="both"/>
      </w:pPr>
      <w:r>
        <w:br w:type="page"/>
      </w:r>
    </w:p>
    <w:p w14:paraId="6B3C6F4F" w14:textId="77777777" w:rsidR="00B84655" w:rsidRDefault="00B84655">
      <w:pPr>
        <w:ind w:left="426" w:firstLine="425"/>
        <w:jc w:val="both"/>
      </w:pPr>
    </w:p>
    <w:p w14:paraId="088710CE" w14:textId="77777777" w:rsidR="00B84655" w:rsidRDefault="007F6976"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ACQUIS D’APPRENTISSAGE</w:t>
      </w:r>
    </w:p>
    <w:p w14:paraId="409C5FEA" w14:textId="77777777" w:rsidR="00B84655" w:rsidRDefault="007F6976">
      <w:pPr>
        <w:spacing w:after="120"/>
        <w:ind w:left="426"/>
        <w:jc w:val="both"/>
        <w:rPr>
          <w:b/>
        </w:rPr>
      </w:pPr>
      <w:r>
        <w:rPr>
          <w:b/>
        </w:rPr>
        <w:t xml:space="preserve">Pour atteindre le seuil de réussite, l’étudiant sera capable : </w:t>
      </w:r>
    </w:p>
    <w:p w14:paraId="4A186CDF" w14:textId="77777777" w:rsidR="00B84655" w:rsidRDefault="007F6976">
      <w:pPr>
        <w:spacing w:after="120"/>
        <w:ind w:left="426"/>
        <w:jc w:val="both"/>
        <w:rPr>
          <w:i/>
        </w:rPr>
      </w:pPr>
      <w:proofErr w:type="gramStart"/>
      <w:r>
        <w:rPr>
          <w:i/>
        </w:rPr>
        <w:t>dans</w:t>
      </w:r>
      <w:proofErr w:type="gramEnd"/>
      <w:r>
        <w:rPr>
          <w:i/>
        </w:rPr>
        <w:t xml:space="preserve"> le cadre de situations relatives au transport non urgent de patients, </w:t>
      </w:r>
    </w:p>
    <w:p w14:paraId="26159130" w14:textId="77777777" w:rsidR="00B84655" w:rsidRDefault="007F6976">
      <w:pPr>
        <w:spacing w:after="120"/>
        <w:ind w:left="426"/>
        <w:jc w:val="both"/>
        <w:rPr>
          <w:i/>
        </w:rPr>
      </w:pPr>
      <w:proofErr w:type="gramStart"/>
      <w:r>
        <w:rPr>
          <w:i/>
        </w:rPr>
        <w:t>dans</w:t>
      </w:r>
      <w:proofErr w:type="gramEnd"/>
      <w:r>
        <w:rPr>
          <w:i/>
        </w:rPr>
        <w:t xml:space="preserve"> les limites de ses fonctions, </w:t>
      </w:r>
    </w:p>
    <w:p w14:paraId="246FA0AD" w14:textId="77777777" w:rsidR="00B84655" w:rsidRDefault="007F6976">
      <w:pPr>
        <w:spacing w:after="120"/>
        <w:ind w:left="426"/>
        <w:jc w:val="both"/>
        <w:rPr>
          <w:i/>
        </w:rPr>
      </w:pPr>
      <w:proofErr w:type="gramStart"/>
      <w:r>
        <w:rPr>
          <w:i/>
        </w:rPr>
        <w:t>da</w:t>
      </w:r>
      <w:r>
        <w:rPr>
          <w:i/>
        </w:rPr>
        <w:t>ns</w:t>
      </w:r>
      <w:proofErr w:type="gramEnd"/>
      <w:r>
        <w:rPr>
          <w:i/>
        </w:rPr>
        <w:t xml:space="preserve"> le respect de la législation en vigueur,</w:t>
      </w:r>
    </w:p>
    <w:p w14:paraId="6973D633" w14:textId="77777777" w:rsidR="00B84655" w:rsidRDefault="007F6976">
      <w:pPr>
        <w:pStyle w:val="Retraitcorpsdetexte3"/>
        <w:numPr>
          <w:ilvl w:val="0"/>
          <w:numId w:val="4"/>
        </w:numPr>
        <w:spacing w:before="0"/>
        <w:jc w:val="both"/>
        <w:rPr>
          <w:i w:val="0"/>
        </w:rPr>
      </w:pPr>
      <w:r>
        <w:rPr>
          <w:i w:val="0"/>
        </w:rPr>
        <w:t>au départ d’un support de communication verbale et professionnelle, d’extraire et de reformuler oralement les éléments essentiels exploitables dans le cadre de son travail ;</w:t>
      </w:r>
    </w:p>
    <w:p w14:paraId="1BED5C10" w14:textId="77777777" w:rsidR="00B84655" w:rsidRDefault="007F6976">
      <w:pPr>
        <w:pStyle w:val="Retraitcorpsdetexte3"/>
        <w:numPr>
          <w:ilvl w:val="0"/>
          <w:numId w:val="4"/>
        </w:numPr>
        <w:spacing w:before="0"/>
        <w:jc w:val="both"/>
        <w:rPr>
          <w:i w:val="0"/>
        </w:rPr>
      </w:pPr>
      <w:r>
        <w:rPr>
          <w:i w:val="0"/>
        </w:rPr>
        <w:t>au départ d’un support de communicatio</w:t>
      </w:r>
      <w:r>
        <w:rPr>
          <w:i w:val="0"/>
        </w:rPr>
        <w:t>n écrite et professionnelle, de résumer par écrit le contenu essentiel exploitable dans le cadre son travail ;</w:t>
      </w:r>
    </w:p>
    <w:p w14:paraId="7BF19D1D" w14:textId="77777777" w:rsidR="00B84655" w:rsidRDefault="007F6976">
      <w:pPr>
        <w:pStyle w:val="Retraitcorpsdetexte3"/>
        <w:numPr>
          <w:ilvl w:val="0"/>
          <w:numId w:val="4"/>
        </w:numPr>
        <w:spacing w:before="0"/>
        <w:jc w:val="both"/>
        <w:rPr>
          <w:i w:val="0"/>
          <w:iCs w:val="0"/>
        </w:rPr>
      </w:pPr>
      <w:r>
        <w:rPr>
          <w:i w:val="0"/>
        </w:rPr>
        <w:t>lors d’une prise en charge d’un patient, d’adapter sa communication verbale et non verbale à la situation ;</w:t>
      </w:r>
    </w:p>
    <w:p w14:paraId="7F25506D" w14:textId="77777777" w:rsidR="00B84655" w:rsidRDefault="007F6976">
      <w:pPr>
        <w:numPr>
          <w:ilvl w:val="0"/>
          <w:numId w:val="3"/>
        </w:numPr>
        <w:spacing w:after="120"/>
        <w:ind w:left="709" w:hanging="283"/>
        <w:jc w:val="both"/>
        <w:rPr>
          <w:b/>
        </w:rPr>
      </w:pPr>
      <w:r>
        <w:rPr>
          <w:iCs/>
        </w:rPr>
        <w:t xml:space="preserve">de </w:t>
      </w:r>
      <w:r>
        <w:t>lever, de soulever, de positionner</w:t>
      </w:r>
      <w:r>
        <w:t>, de déplacer, d’immobiliser</w:t>
      </w:r>
      <w:r>
        <w:rPr>
          <w:iCs/>
        </w:rPr>
        <w:t xml:space="preserve"> adéquatement le patient selon son état en tenant compte des accessoires et des techniques disponibles, dans le respect des principes d’ergonomie et de manutention afin de garantir sa sécurité ;</w:t>
      </w:r>
    </w:p>
    <w:p w14:paraId="558B5F35" w14:textId="77777777" w:rsidR="00B84655" w:rsidRDefault="007F6976">
      <w:pPr>
        <w:numPr>
          <w:ilvl w:val="0"/>
          <w:numId w:val="3"/>
        </w:numPr>
        <w:spacing w:after="120"/>
        <w:ind w:left="709" w:hanging="283"/>
        <w:jc w:val="both"/>
        <w:rPr>
          <w:iCs/>
        </w:rPr>
      </w:pPr>
      <w:r>
        <w:rPr>
          <w:iCs/>
        </w:rPr>
        <w:t>d’adapter son comportement vis-à-</w:t>
      </w:r>
      <w:r>
        <w:rPr>
          <w:iCs/>
        </w:rPr>
        <w:t>vis du patient, de sa famille et/ou de son entourage ;</w:t>
      </w:r>
    </w:p>
    <w:p w14:paraId="5ED04699" w14:textId="77777777" w:rsidR="00B84655" w:rsidRDefault="007F6976">
      <w:pPr>
        <w:numPr>
          <w:ilvl w:val="0"/>
          <w:numId w:val="3"/>
        </w:numPr>
        <w:spacing w:after="120"/>
        <w:ind w:left="709" w:hanging="283"/>
        <w:jc w:val="both"/>
        <w:rPr>
          <w:b/>
        </w:rPr>
      </w:pPr>
      <w:r>
        <w:rPr>
          <w:iCs/>
        </w:rPr>
        <w:t>de prendre en compte les aspects déontologiques ;</w:t>
      </w:r>
    </w:p>
    <w:p w14:paraId="77314D52" w14:textId="77777777" w:rsidR="00B84655" w:rsidRDefault="007F6976">
      <w:pPr>
        <w:numPr>
          <w:ilvl w:val="0"/>
          <w:numId w:val="3"/>
        </w:numPr>
        <w:spacing w:after="120"/>
        <w:ind w:left="709" w:hanging="283"/>
        <w:jc w:val="both"/>
        <w:rPr>
          <w:b/>
        </w:rPr>
      </w:pPr>
      <w:r>
        <w:t>d’identifier</w:t>
      </w:r>
      <w:r>
        <w:rPr>
          <w:iCs/>
        </w:rPr>
        <w:t xml:space="preserve"> la dégradation de l’état de santé du patient et d’analyser le risque encouru par celui-ci</w:t>
      </w:r>
      <w:r>
        <w:t xml:space="preserve"> afin de pouvoir juger de la nécessité d’une assistance selon son état ;</w:t>
      </w:r>
    </w:p>
    <w:p w14:paraId="397038A7" w14:textId="77777777" w:rsidR="00B84655" w:rsidRDefault="007F6976">
      <w:pPr>
        <w:numPr>
          <w:ilvl w:val="0"/>
          <w:numId w:val="3"/>
        </w:numPr>
        <w:spacing w:after="120"/>
        <w:ind w:left="709" w:hanging="283"/>
        <w:jc w:val="both"/>
        <w:rPr>
          <w:b/>
        </w:rPr>
      </w:pPr>
      <w:r>
        <w:rPr>
          <w:iCs/>
        </w:rPr>
        <w:t>de continuer à traiter le patient par oxygène médical ;</w:t>
      </w:r>
    </w:p>
    <w:p w14:paraId="213A2DDF" w14:textId="77777777" w:rsidR="00B84655" w:rsidRDefault="007F6976">
      <w:pPr>
        <w:numPr>
          <w:ilvl w:val="0"/>
          <w:numId w:val="3"/>
        </w:numPr>
        <w:spacing w:after="120"/>
        <w:ind w:left="709" w:hanging="283"/>
        <w:jc w:val="both"/>
        <w:rPr>
          <w:iCs/>
        </w:rPr>
      </w:pPr>
      <w:r>
        <w:rPr>
          <w:iCs/>
        </w:rPr>
        <w:t>de transmettre, dans le respect des p</w:t>
      </w:r>
      <w:r>
        <w:rPr>
          <w:iCs/>
        </w:rPr>
        <w:t>rocédures, les informations relatives au patient et à la mission.</w:t>
      </w:r>
    </w:p>
    <w:p w14:paraId="4FFE7743" w14:textId="77777777" w:rsidR="00B84655" w:rsidRDefault="00B84655">
      <w:pPr>
        <w:autoSpaceDE/>
        <w:autoSpaceDN/>
        <w:rPr>
          <w:iCs/>
        </w:rPr>
      </w:pPr>
    </w:p>
    <w:p w14:paraId="70322878" w14:textId="77777777" w:rsidR="00B84655" w:rsidRDefault="007F6976">
      <w:pPr>
        <w:spacing w:after="120"/>
        <w:ind w:left="426"/>
        <w:jc w:val="both"/>
        <w:rPr>
          <w:b/>
        </w:rPr>
      </w:pPr>
      <w:r>
        <w:rPr>
          <w:b/>
        </w:rPr>
        <w:t>Pour la détermination du degré de maîtrise, il sera tenu compte des critères suivants :</w:t>
      </w:r>
    </w:p>
    <w:p w14:paraId="4F476959" w14:textId="77777777" w:rsidR="00B84655" w:rsidRDefault="007F6976">
      <w:pPr>
        <w:numPr>
          <w:ilvl w:val="0"/>
          <w:numId w:val="4"/>
        </w:numPr>
        <w:shd w:val="clear" w:color="auto" w:fill="FFFFFF"/>
        <w:tabs>
          <w:tab w:val="num" w:pos="709"/>
        </w:tabs>
        <w:autoSpaceDE/>
        <w:autoSpaceDN/>
        <w:spacing w:before="120"/>
        <w:jc w:val="both"/>
        <w:rPr>
          <w:color w:val="000000"/>
        </w:rPr>
      </w:pPr>
      <w:r>
        <w:rPr>
          <w:color w:val="000000"/>
        </w:rPr>
        <w:t>le niveau de cohérence : la capacité à établir une majorité de liens logiques pour former un ensemble</w:t>
      </w:r>
      <w:r>
        <w:rPr>
          <w:color w:val="000000"/>
        </w:rPr>
        <w:t xml:space="preserve"> organisé ;</w:t>
      </w:r>
    </w:p>
    <w:p w14:paraId="01A14896" w14:textId="77777777" w:rsidR="00B84655" w:rsidRDefault="007F6976">
      <w:pPr>
        <w:numPr>
          <w:ilvl w:val="0"/>
          <w:numId w:val="4"/>
        </w:numPr>
        <w:shd w:val="clear" w:color="auto" w:fill="FFFFFF"/>
        <w:tabs>
          <w:tab w:val="num" w:pos="709"/>
        </w:tabs>
        <w:autoSpaceDE/>
        <w:autoSpaceDN/>
        <w:spacing w:before="120"/>
        <w:jc w:val="both"/>
        <w:rPr>
          <w:color w:val="000000"/>
        </w:rPr>
      </w:pPr>
      <w:r>
        <w:rPr>
          <w:color w:val="000000"/>
        </w:rPr>
        <w:t>le niveau de précision : la clarté et la rigueur au niveau de la terminologie, des concepts et des techniques/principes/modèles ;</w:t>
      </w:r>
    </w:p>
    <w:p w14:paraId="236A6063" w14:textId="77777777" w:rsidR="00B84655" w:rsidRDefault="007F6976">
      <w:pPr>
        <w:numPr>
          <w:ilvl w:val="0"/>
          <w:numId w:val="4"/>
        </w:numPr>
        <w:shd w:val="clear" w:color="auto" w:fill="FFFFFF"/>
        <w:tabs>
          <w:tab w:val="num" w:pos="709"/>
        </w:tabs>
        <w:autoSpaceDE/>
        <w:autoSpaceDN/>
        <w:spacing w:before="120"/>
        <w:jc w:val="both"/>
        <w:rPr>
          <w:color w:val="000000"/>
        </w:rPr>
      </w:pPr>
      <w:r>
        <w:rPr>
          <w:color w:val="000000"/>
        </w:rPr>
        <w:t>le niveau d’intégration : la capacité à s’approprier des notions, concepts, techniques et démarches en les intégra</w:t>
      </w:r>
      <w:r>
        <w:rPr>
          <w:color w:val="000000"/>
        </w:rPr>
        <w:t>nt dans son analyse, son argumentation, sa pratique ou la recherche de solutions.</w:t>
      </w:r>
    </w:p>
    <w:p w14:paraId="43006ACA" w14:textId="77777777" w:rsidR="00B84655" w:rsidRDefault="00B84655">
      <w:pPr>
        <w:spacing w:after="120"/>
        <w:ind w:left="851"/>
        <w:jc w:val="both"/>
      </w:pPr>
    </w:p>
    <w:p w14:paraId="020DAEE6" w14:textId="77777777" w:rsidR="00B84655" w:rsidRDefault="007F6976"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PROGRAMME</w:t>
      </w:r>
    </w:p>
    <w:p w14:paraId="61FB71BD" w14:textId="77777777" w:rsidR="00B84655" w:rsidRDefault="007F6976">
      <w:pPr>
        <w:spacing w:after="120"/>
        <w:ind w:firstLine="426"/>
        <w:jc w:val="both"/>
      </w:pPr>
      <w:r>
        <w:t>L’étudiant sera capable :</w:t>
      </w:r>
    </w:p>
    <w:p w14:paraId="064744BF" w14:textId="77777777" w:rsidR="00B84655" w:rsidRDefault="007F6976">
      <w:pPr>
        <w:numPr>
          <w:ilvl w:val="1"/>
          <w:numId w:val="6"/>
        </w:numPr>
        <w:spacing w:after="120"/>
        <w:jc w:val="both"/>
        <w:rPr>
          <w:b/>
        </w:rPr>
      </w:pPr>
      <w:r>
        <w:rPr>
          <w:b/>
        </w:rPr>
        <w:t xml:space="preserve">Communication appliquée au transport ambulancier </w:t>
      </w:r>
    </w:p>
    <w:p w14:paraId="7724F8C6" w14:textId="77777777" w:rsidR="00B84655" w:rsidRDefault="007F6976">
      <w:pPr>
        <w:spacing w:after="120"/>
        <w:ind w:left="851"/>
        <w:jc w:val="both"/>
        <w:rPr>
          <w:i/>
        </w:rPr>
      </w:pPr>
      <w:proofErr w:type="gramStart"/>
      <w:r>
        <w:rPr>
          <w:i/>
        </w:rPr>
        <w:t>à</w:t>
      </w:r>
      <w:proofErr w:type="gramEnd"/>
      <w:r>
        <w:rPr>
          <w:i/>
        </w:rPr>
        <w:t xml:space="preserve"> partir de situations fictives de prise en charge d’un patient dans le cadre du transp</w:t>
      </w:r>
      <w:r>
        <w:rPr>
          <w:i/>
        </w:rPr>
        <w:t>ort ambulancier et au départ de supports de communication professionnelle verbale et écrite,</w:t>
      </w:r>
    </w:p>
    <w:p w14:paraId="6068B645" w14:textId="77777777" w:rsidR="00B84655" w:rsidRDefault="007F6976">
      <w:pPr>
        <w:spacing w:after="120"/>
        <w:ind w:left="851"/>
        <w:jc w:val="both"/>
        <w:rPr>
          <w:i/>
        </w:rPr>
      </w:pPr>
      <w:proofErr w:type="gramStart"/>
      <w:r>
        <w:rPr>
          <w:i/>
        </w:rPr>
        <w:t>pour</w:t>
      </w:r>
      <w:proofErr w:type="gramEnd"/>
      <w:r>
        <w:rPr>
          <w:i/>
        </w:rPr>
        <w:t xml:space="preserve"> des messages professionnels (messages radio, rapports, communication avec les patients, les collègues, l’équipe pluridisciplinaire, site web…),</w:t>
      </w:r>
    </w:p>
    <w:p w14:paraId="2C25561A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 xml:space="preserve">de </w:t>
      </w:r>
      <w:r>
        <w:t>reformuler oralement et par écrit, les informations à exploiter dans le cadre de son travail ;</w:t>
      </w:r>
    </w:p>
    <w:p w14:paraId="2F64DF8A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lastRenderedPageBreak/>
        <w:t>d’exprimer des messages adaptés à l’interlocuteur et facilitant la communication entre les personnes ;</w:t>
      </w:r>
    </w:p>
    <w:p w14:paraId="4BE07E89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d’utiliser les principes de l’écoute active et d’empathie.</w:t>
      </w:r>
    </w:p>
    <w:p w14:paraId="7E631998" w14:textId="77777777" w:rsidR="00B84655" w:rsidRDefault="007F6976">
      <w:pPr>
        <w:numPr>
          <w:ilvl w:val="1"/>
          <w:numId w:val="6"/>
        </w:numPr>
        <w:spacing w:after="120"/>
        <w:jc w:val="both"/>
        <w:rPr>
          <w:b/>
        </w:rPr>
      </w:pPr>
      <w:r>
        <w:rPr>
          <w:b/>
        </w:rPr>
        <w:t xml:space="preserve"> Législation, déontologie et éthique</w:t>
      </w:r>
    </w:p>
    <w:p w14:paraId="3AD9D587" w14:textId="77777777" w:rsidR="00B84655" w:rsidRDefault="007F6976">
      <w:pPr>
        <w:spacing w:after="120"/>
        <w:ind w:left="851"/>
        <w:jc w:val="both"/>
        <w:rPr>
          <w:i/>
        </w:rPr>
      </w:pPr>
      <w:proofErr w:type="gramStart"/>
      <w:r>
        <w:rPr>
          <w:i/>
        </w:rPr>
        <w:t>dans</w:t>
      </w:r>
      <w:proofErr w:type="gramEnd"/>
      <w:r>
        <w:rPr>
          <w:i/>
        </w:rPr>
        <w:t xml:space="preserve"> le respect de la législation en vigueur relative à l’exercice des professions de soins de santé,</w:t>
      </w:r>
    </w:p>
    <w:p w14:paraId="51E178E1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 xml:space="preserve">de décrire le rôle et les tâches de l’ambulancier dans le cadre des transports non urgents de patients  par </w:t>
      </w:r>
      <w:r>
        <w:t>rapport aux services, aux patients et aux milieux professionnels rencontrés ;</w:t>
      </w:r>
    </w:p>
    <w:p w14:paraId="51E72B99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d’identifier et de caractériser les règles déontologiques ainsi que les principes éthiques essentiels dans le cadre des transports non urgents de patients par rapport aux service</w:t>
      </w:r>
      <w:r>
        <w:t>s, aux patients et aux milieux professionnels rencontrés ;</w:t>
      </w:r>
    </w:p>
    <w:p w14:paraId="2C8080F2" w14:textId="77777777" w:rsidR="00B84655" w:rsidRDefault="00B84655">
      <w:pPr>
        <w:spacing w:after="120"/>
        <w:jc w:val="both"/>
      </w:pPr>
    </w:p>
    <w:p w14:paraId="58DFA120" w14:textId="77777777" w:rsidR="00B84655" w:rsidRDefault="007F6976">
      <w:pPr>
        <w:numPr>
          <w:ilvl w:val="1"/>
          <w:numId w:val="6"/>
        </w:numPr>
        <w:spacing w:after="120"/>
        <w:jc w:val="both"/>
        <w:rPr>
          <w:b/>
        </w:rPr>
      </w:pPr>
      <w:r>
        <w:rPr>
          <w:b/>
        </w:rPr>
        <w:t xml:space="preserve">Transport non urgent de patients </w:t>
      </w:r>
    </w:p>
    <w:p w14:paraId="163520F8" w14:textId="77777777" w:rsidR="00B84655" w:rsidRDefault="007F6976">
      <w:pPr>
        <w:spacing w:after="120"/>
        <w:ind w:left="851"/>
        <w:jc w:val="both"/>
        <w:rPr>
          <w:i/>
        </w:rPr>
      </w:pPr>
      <w:proofErr w:type="gramStart"/>
      <w:r>
        <w:rPr>
          <w:i/>
        </w:rPr>
        <w:t>dans</w:t>
      </w:r>
      <w:proofErr w:type="gramEnd"/>
      <w:r>
        <w:rPr>
          <w:i/>
        </w:rPr>
        <w:t xml:space="preserve"> le respect de la législation en vigueur et des aspects déontologiques,</w:t>
      </w:r>
    </w:p>
    <w:p w14:paraId="0F3E837E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d’identifier les informations pertinentes issues des applications e-</w:t>
      </w:r>
      <w:proofErr w:type="spellStart"/>
      <w:r>
        <w:t>Health</w:t>
      </w:r>
      <w:proofErr w:type="spellEnd"/>
      <w:r>
        <w:t> ;</w:t>
      </w:r>
    </w:p>
    <w:p w14:paraId="6C47317E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d’identif</w:t>
      </w:r>
      <w:r>
        <w:t>ier et de caractériser les principales formalités administratives à accomplir lors de transports non urgents de patients ;</w:t>
      </w:r>
    </w:p>
    <w:p w14:paraId="02429BE0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au départ de mises en situation fictives, de reformuler en des termes simples les instructions médicales transmises ;</w:t>
      </w:r>
    </w:p>
    <w:p w14:paraId="50627F78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 xml:space="preserve">de décrire les </w:t>
      </w:r>
      <w:r>
        <w:t>différents appareillages dont le patient pris en charge peut être muni ;</w:t>
      </w:r>
    </w:p>
    <w:p w14:paraId="6DC1070B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de caractériser les règles d’hygiène et de sécurité relatives au transport d’un patient appareillé ;</w:t>
      </w:r>
    </w:p>
    <w:p w14:paraId="213829C8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d’adopter des attitudes professionnelles permettant d’établir et de maintenir un c</w:t>
      </w:r>
      <w:r>
        <w:t>limat de confiance ainsi qu’une relation sereine avec le patient, sa famille et/ou son entourage ;</w:t>
      </w:r>
    </w:p>
    <w:p w14:paraId="02A7B002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d’expliciter les situations particulières de prise en charge d’un patient, accompagné ou non, en ce compris la définition des termes ainsi que des aspects ps</w:t>
      </w:r>
      <w:r>
        <w:t>ychologiques particuliers, dans au minimum les contextes suivants :</w:t>
      </w:r>
    </w:p>
    <w:p w14:paraId="7617E1BD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pédiatrique,</w:t>
      </w:r>
    </w:p>
    <w:p w14:paraId="0D3C0587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de trouble comportemental et/ou de handicap mental et/ou psychiatrique,</w:t>
      </w:r>
    </w:p>
    <w:p w14:paraId="52ACCBCE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gériatrique,</w:t>
      </w:r>
    </w:p>
    <w:p w14:paraId="4A138DC7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de dialyse,</w:t>
      </w:r>
    </w:p>
    <w:p w14:paraId="6B32F35E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de chimiothérapie et/ou de radiothérapie,</w:t>
      </w:r>
    </w:p>
    <w:p w14:paraId="1CAF4274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 xml:space="preserve">de soins palliatifs et/ou de fin de </w:t>
      </w:r>
      <w:r>
        <w:t>vie ;</w:t>
      </w:r>
    </w:p>
    <w:p w14:paraId="0A9525CC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d’identifier et d’expliciter les points de surveillance à prendre en considération lors de l’accompagnement du patient durant le transport au niveau de :</w:t>
      </w:r>
    </w:p>
    <w:p w14:paraId="16D7CBCB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son état physique et son évolution,</w:t>
      </w:r>
    </w:p>
    <w:p w14:paraId="6FB1E590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son appareillage,</w:t>
      </w:r>
    </w:p>
    <w:p w14:paraId="16C0B5B5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son état psychologique,</w:t>
      </w:r>
    </w:p>
    <w:p w14:paraId="7A07A5E9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 xml:space="preserve">ses </w:t>
      </w:r>
      <w:r>
        <w:t>considérations philosophiques ou religieuses,</w:t>
      </w:r>
    </w:p>
    <w:p w14:paraId="1274CE96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sa famille et/ou son entourage ;</w:t>
      </w:r>
    </w:p>
    <w:p w14:paraId="26261C8C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lastRenderedPageBreak/>
        <w:t>d’identifier les situations dans lesquelles l’ambulancier vide une poche à urine, remplace une poche de stomie.</w:t>
      </w:r>
    </w:p>
    <w:p w14:paraId="1F21E859" w14:textId="77777777" w:rsidR="00B84655" w:rsidRDefault="007F6976">
      <w:pPr>
        <w:numPr>
          <w:ilvl w:val="1"/>
          <w:numId w:val="6"/>
        </w:numPr>
        <w:spacing w:after="120"/>
        <w:jc w:val="both"/>
        <w:rPr>
          <w:b/>
        </w:rPr>
      </w:pPr>
      <w:r>
        <w:rPr>
          <w:b/>
        </w:rPr>
        <w:t>Transport non urgent de patients : travaux pratiques</w:t>
      </w:r>
    </w:p>
    <w:p w14:paraId="72DB6EBA" w14:textId="77777777" w:rsidR="00B84655" w:rsidRDefault="007F6976">
      <w:pPr>
        <w:spacing w:after="120"/>
        <w:ind w:left="709"/>
        <w:jc w:val="both"/>
        <w:rPr>
          <w:i/>
        </w:rPr>
      </w:pPr>
      <w:proofErr w:type="gramStart"/>
      <w:r>
        <w:rPr>
          <w:i/>
        </w:rPr>
        <w:t>à</w:t>
      </w:r>
      <w:proofErr w:type="gramEnd"/>
      <w:r>
        <w:rPr>
          <w:i/>
        </w:rPr>
        <w:t xml:space="preserve"> partir des</w:t>
      </w:r>
      <w:r>
        <w:rPr>
          <w:i/>
        </w:rPr>
        <w:t xml:space="preserve"> mises en situation fictives mobilisant des tâches liées à l’activité d’enseignement de « Transport non urgent de patients », dans le respect de la législation en vigueur et des aspects déontologiques,</w:t>
      </w:r>
    </w:p>
    <w:p w14:paraId="6733D1F3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de collecter les informations nécessaires à la prise e</w:t>
      </w:r>
      <w:r>
        <w:t>n charge ;</w:t>
      </w:r>
    </w:p>
    <w:p w14:paraId="4A0A4532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de prendre en charge un patient, accompagné ou non, dans au minimum les contextes suivants :</w:t>
      </w:r>
    </w:p>
    <w:p w14:paraId="070D7AEA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pédiatrique,</w:t>
      </w:r>
    </w:p>
    <w:p w14:paraId="2B311E21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de trouble comportemental et/ou de handicap mental et/ou psychiatrique,</w:t>
      </w:r>
    </w:p>
    <w:p w14:paraId="165D9788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gériatrique,</w:t>
      </w:r>
    </w:p>
    <w:p w14:paraId="1F8AF115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de dialyse,</w:t>
      </w:r>
    </w:p>
    <w:p w14:paraId="304F80B5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de chimiothérapie et/ou de radiothérapie,</w:t>
      </w:r>
    </w:p>
    <w:p w14:paraId="75095D91" w14:textId="77777777" w:rsidR="00B84655" w:rsidRDefault="007F6976">
      <w:pPr>
        <w:numPr>
          <w:ilvl w:val="2"/>
          <w:numId w:val="5"/>
        </w:numPr>
        <w:spacing w:after="120"/>
        <w:jc w:val="both"/>
      </w:pPr>
      <w:r>
        <w:t>de soins palliatifs et/ou de fin de vie ;</w:t>
      </w:r>
    </w:p>
    <w:p w14:paraId="03577E43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d’adapter son comportement vis-à-vis du patient, de sa famille et/ou de son entourage ;</w:t>
      </w:r>
    </w:p>
    <w:p w14:paraId="4E938A1C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d’installer le patient, selon son état, dans la position la plus adéquate, dans le respect des règles de manutention, de sécur</w:t>
      </w:r>
      <w:r>
        <w:t>ité et d’utilisation du matériel ;</w:t>
      </w:r>
    </w:p>
    <w:p w14:paraId="0D262FBD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de manipuler l’appareillage du patient dans les limites de sa fonction et en vue d’un transport sécuritaire ;</w:t>
      </w:r>
    </w:p>
    <w:p w14:paraId="0D0217CA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d’appliquer les principes d’hygiène et de sécurité et de prévention des infections ;</w:t>
      </w:r>
    </w:p>
    <w:p w14:paraId="245767B7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de poser les actes pour vi</w:t>
      </w:r>
      <w:r>
        <w:t>der une poche à urine et remplacer une poche de stomie ;</w:t>
      </w:r>
    </w:p>
    <w:p w14:paraId="4832AE52" w14:textId="77777777" w:rsidR="00B84655" w:rsidRDefault="007F6976">
      <w:pPr>
        <w:numPr>
          <w:ilvl w:val="0"/>
          <w:numId w:val="5"/>
        </w:numPr>
        <w:spacing w:after="120"/>
        <w:ind w:left="1276" w:hanging="425"/>
        <w:jc w:val="both"/>
      </w:pPr>
      <w:r>
        <w:t>de transmettre les renseignements utiles à propos du patient en vue d’assurer la continuité de sa prise en charge.</w:t>
      </w:r>
    </w:p>
    <w:p w14:paraId="5B566DA2" w14:textId="77777777" w:rsidR="00B84655" w:rsidRDefault="00B84655">
      <w:pPr>
        <w:jc w:val="both"/>
      </w:pPr>
    </w:p>
    <w:p w14:paraId="1DB8C4A2" w14:textId="77777777" w:rsidR="00B84655" w:rsidRDefault="007F6976"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CONSTITUTION DES GROUPES OU REGROUPEMENT</w:t>
      </w:r>
    </w:p>
    <w:p w14:paraId="545C3A17" w14:textId="77777777" w:rsidR="00B84655" w:rsidRDefault="007F6976">
      <w:pPr>
        <w:spacing w:after="120"/>
        <w:ind w:left="426"/>
        <w:jc w:val="both"/>
      </w:pPr>
      <w:r>
        <w:t xml:space="preserve">Il est recommandé de ne pas </w:t>
      </w:r>
      <w:r>
        <w:t>dépasser 12 personnes pour les cours de travaux pratiques.</w:t>
      </w:r>
    </w:p>
    <w:p w14:paraId="712D69E1" w14:textId="77777777" w:rsidR="00B84655" w:rsidRDefault="00B84655">
      <w:pPr>
        <w:spacing w:after="120"/>
        <w:ind w:left="426"/>
        <w:jc w:val="both"/>
      </w:pPr>
    </w:p>
    <w:p w14:paraId="7643E1A8" w14:textId="77777777" w:rsidR="00B84655" w:rsidRDefault="007F6976"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CHARGE(S) DE COURS</w:t>
      </w:r>
    </w:p>
    <w:p w14:paraId="2534F33A" w14:textId="77777777" w:rsidR="00B84655" w:rsidRDefault="007F6976">
      <w:pPr>
        <w:spacing w:after="120"/>
        <w:ind w:left="426"/>
        <w:jc w:val="both"/>
      </w:pPr>
      <w:r>
        <w:t>Le chargé de cours de cours sera un enseignant ou un expert.</w:t>
      </w:r>
    </w:p>
    <w:p w14:paraId="7B63C205" w14:textId="77777777" w:rsidR="00B84655" w:rsidRDefault="007F6976">
      <w:pPr>
        <w:spacing w:after="120"/>
        <w:ind w:left="426"/>
        <w:jc w:val="both"/>
      </w:pPr>
      <w:r>
        <w:t>L’expert devra justifier de compétences particulières issues d’une expérience professionnelle actualisée en relation</w:t>
      </w:r>
      <w:r>
        <w:t xml:space="preserve"> avec la charge de cours qui lui est attribuée.</w:t>
      </w:r>
    </w:p>
    <w:p w14:paraId="3D1744BC" w14:textId="77777777" w:rsidR="00B84655" w:rsidRDefault="007F6976">
      <w:pPr>
        <w:spacing w:after="120"/>
        <w:ind w:left="426"/>
        <w:jc w:val="both"/>
      </w:pPr>
      <w:r>
        <w:br w:type="page"/>
      </w:r>
    </w:p>
    <w:p w14:paraId="40B4B125" w14:textId="77777777" w:rsidR="00B84655" w:rsidRDefault="007F6976">
      <w:pPr>
        <w:numPr>
          <w:ilvl w:val="0"/>
          <w:numId w:val="1"/>
        </w:numPr>
        <w:tabs>
          <w:tab w:val="num" w:pos="1416"/>
        </w:tabs>
        <w:spacing w:before="120" w:after="120"/>
        <w:rPr>
          <w:b/>
        </w:rPr>
      </w:pPr>
      <w:r>
        <w:rPr>
          <w:b/>
        </w:rPr>
        <w:lastRenderedPageBreak/>
        <w:t>HORAIRE MINIMUM DE L’UNITE D’ENSEIGNEMENT</w:t>
      </w:r>
    </w:p>
    <w:p w14:paraId="6EFCB1E7" w14:textId="77777777" w:rsidR="00B84655" w:rsidRDefault="00B84655">
      <w:pPr>
        <w:ind w:left="708" w:hanging="708"/>
      </w:pPr>
    </w:p>
    <w:tbl>
      <w:tblPr>
        <w:tblW w:w="8859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275"/>
        <w:gridCol w:w="1347"/>
        <w:gridCol w:w="1701"/>
      </w:tblGrid>
      <w:tr w:rsidR="00B84655" w14:paraId="2CBD4D39" w14:textId="77777777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41E679" w14:textId="77777777" w:rsidR="00B84655" w:rsidRDefault="007F6976">
            <w:pPr>
              <w:ind w:left="426"/>
              <w:rPr>
                <w:b/>
              </w:rPr>
            </w:pPr>
            <w:r>
              <w:rPr>
                <w:b/>
              </w:rPr>
              <w:t>7.1. Dénomination du cours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E339E07" w14:textId="77777777" w:rsidR="00B84655" w:rsidRDefault="007F6976">
            <w:pPr>
              <w:jc w:val="center"/>
              <w:rPr>
                <w:b/>
              </w:rPr>
            </w:pPr>
            <w:r>
              <w:rPr>
                <w:b/>
              </w:rPr>
              <w:t>Classement du cours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14:paraId="2D4245F1" w14:textId="77777777" w:rsidR="00B84655" w:rsidRDefault="007F6976">
            <w:pPr>
              <w:jc w:val="center"/>
              <w:rPr>
                <w:b/>
              </w:rPr>
            </w:pPr>
            <w:r>
              <w:rPr>
                <w:b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1E865" w14:textId="77777777" w:rsidR="00B84655" w:rsidRDefault="007F6976">
            <w:pPr>
              <w:jc w:val="center"/>
              <w:rPr>
                <w:b/>
              </w:rPr>
            </w:pPr>
            <w:r>
              <w:rPr>
                <w:b/>
              </w:rPr>
              <w:t>Nombre de périodes</w:t>
            </w:r>
          </w:p>
        </w:tc>
      </w:tr>
      <w:tr w:rsidR="00B84655" w14:paraId="1FF7E1E6" w14:textId="77777777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485813" w14:textId="77777777" w:rsidR="00B84655" w:rsidRDefault="007F6976">
            <w:r>
              <w:t xml:space="preserve">Communication appliquée au transport non urgent de patients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7367BEF8" w14:textId="77777777" w:rsidR="00B84655" w:rsidRDefault="007F6976">
            <w:pPr>
              <w:jc w:val="center"/>
            </w:pPr>
            <w:r>
              <w:t>CT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</w:tcPr>
          <w:p w14:paraId="6E1629DA" w14:textId="77777777" w:rsidR="00B84655" w:rsidRDefault="007F6976"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0707A" w14:textId="77777777" w:rsidR="00B84655" w:rsidRDefault="007F6976">
            <w:pPr>
              <w:ind w:right="567"/>
              <w:jc w:val="right"/>
            </w:pPr>
            <w:r>
              <w:t>8</w:t>
            </w:r>
          </w:p>
        </w:tc>
      </w:tr>
      <w:tr w:rsidR="00B84655" w14:paraId="18E6430F" w14:textId="77777777"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A1E569" w14:textId="77777777" w:rsidR="00B84655" w:rsidRDefault="007F6976">
            <w:r>
              <w:t>Législation, déontologie et éthique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4EAB11A" w14:textId="77777777" w:rsidR="00B84655" w:rsidRDefault="007F6976">
            <w:pPr>
              <w:jc w:val="center"/>
            </w:pPr>
            <w:r>
              <w:t>CT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6A9928FB" w14:textId="77777777" w:rsidR="00B84655" w:rsidRDefault="007F6976"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60CD0" w14:textId="77777777" w:rsidR="00B84655" w:rsidRDefault="007F6976">
            <w:pPr>
              <w:ind w:right="567"/>
              <w:jc w:val="right"/>
              <w:rPr>
                <w:highlight w:val="yellow"/>
              </w:rPr>
            </w:pPr>
            <w:r>
              <w:t>4</w:t>
            </w:r>
          </w:p>
        </w:tc>
      </w:tr>
      <w:tr w:rsidR="00B84655" w14:paraId="6B65EC40" w14:textId="77777777"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A75277" w14:textId="77777777" w:rsidR="00B84655" w:rsidRDefault="007F6976">
            <w:r>
              <w:t>Transport non urgent de patients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138C07" w14:textId="77777777" w:rsidR="00B84655" w:rsidRDefault="007F6976">
            <w:pPr>
              <w:jc w:val="center"/>
            </w:pPr>
            <w:r>
              <w:t>CT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32EFB87E" w14:textId="77777777" w:rsidR="00B84655" w:rsidRDefault="007F6976"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58C58" w14:textId="77777777" w:rsidR="00B84655" w:rsidRDefault="007F6976">
            <w:pPr>
              <w:ind w:right="567"/>
              <w:jc w:val="right"/>
            </w:pPr>
            <w:r>
              <w:t>8</w:t>
            </w:r>
          </w:p>
        </w:tc>
      </w:tr>
      <w:tr w:rsidR="00B84655" w14:paraId="3387F356" w14:textId="77777777"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253CC0" w14:textId="77777777" w:rsidR="00B84655" w:rsidRDefault="007F6976">
            <w:r>
              <w:t>Transport non urgent de patients : travaux pratiques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9861FF" w14:textId="77777777" w:rsidR="00B84655" w:rsidRDefault="007F6976">
            <w:pPr>
              <w:jc w:val="center"/>
            </w:pPr>
            <w:r>
              <w:t>PP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43F46215" w14:textId="77777777" w:rsidR="00B84655" w:rsidRDefault="007F6976">
            <w:pPr>
              <w:ind w:right="567"/>
              <w:jc w:val="right"/>
            </w:pPr>
            <w:r>
              <w:t>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38F95" w14:textId="77777777" w:rsidR="00B84655" w:rsidRDefault="007F6976">
            <w:pPr>
              <w:ind w:right="567"/>
              <w:jc w:val="right"/>
            </w:pPr>
            <w:r>
              <w:t>12</w:t>
            </w:r>
          </w:p>
        </w:tc>
      </w:tr>
      <w:tr w:rsidR="00B84655" w14:paraId="0E1AB4EA" w14:textId="77777777">
        <w:tc>
          <w:tcPr>
            <w:tcW w:w="5811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14:paraId="018F0A87" w14:textId="77777777" w:rsidR="00B84655" w:rsidRDefault="007F6976">
            <w:pPr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347" w:type="dxa"/>
            <w:tcBorders>
              <w:bottom w:val="single" w:sz="8" w:space="0" w:color="auto"/>
            </w:tcBorders>
          </w:tcPr>
          <w:p w14:paraId="6793A02D" w14:textId="77777777" w:rsidR="00B84655" w:rsidRDefault="007F6976">
            <w:pPr>
              <w:ind w:right="567"/>
              <w:jc w:val="right"/>
            </w:pPr>
            <w:r>
              <w:t>P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2" w:space="0" w:color="auto"/>
            </w:tcBorders>
          </w:tcPr>
          <w:p w14:paraId="2574D4F6" w14:textId="77777777" w:rsidR="00B84655" w:rsidRDefault="007F6976">
            <w:pPr>
              <w:ind w:right="567"/>
              <w:jc w:val="right"/>
            </w:pPr>
            <w:r>
              <w:t>8</w:t>
            </w:r>
          </w:p>
        </w:tc>
      </w:tr>
      <w:tr w:rsidR="00B84655" w14:paraId="31D2CCF9" w14:textId="77777777">
        <w:tc>
          <w:tcPr>
            <w:tcW w:w="58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9B3CCA" w14:textId="77777777" w:rsidR="00B84655" w:rsidRDefault="007F6976">
            <w:pPr>
              <w:rPr>
                <w:b/>
              </w:rPr>
            </w:pPr>
            <w:r>
              <w:rPr>
                <w:b/>
              </w:rPr>
              <w:t xml:space="preserve">Total des </w:t>
            </w:r>
            <w:r>
              <w:rPr>
                <w:b/>
              </w:rPr>
              <w:t>périodes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B77EBAC" w14:textId="77777777" w:rsidR="00B84655" w:rsidRDefault="00B84655">
            <w:pPr>
              <w:ind w:right="709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298FA9B" w14:textId="77777777" w:rsidR="00B84655" w:rsidRDefault="007F6976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7F0E3CED" w14:textId="77777777" w:rsidR="00B84655" w:rsidRDefault="00B84655"/>
    <w:sectPr w:rsidR="00B84655">
      <w:footerReference w:type="even" r:id="rId8"/>
      <w:footerReference w:type="default" r:id="rId9"/>
      <w:type w:val="oddPage"/>
      <w:pgSz w:w="11907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7E43" w14:textId="77777777" w:rsidR="00B84655" w:rsidRDefault="007F6976">
      <w:r>
        <w:separator/>
      </w:r>
    </w:p>
  </w:endnote>
  <w:endnote w:type="continuationSeparator" w:id="0">
    <w:p w14:paraId="218C3929" w14:textId="77777777" w:rsidR="00B84655" w:rsidRDefault="007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9D49" w14:textId="77777777" w:rsidR="00B84655" w:rsidRDefault="007F69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A2B40B" w14:textId="77777777" w:rsidR="00B84655" w:rsidRDefault="00B846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85D0" w14:textId="77777777" w:rsidR="00B84655" w:rsidRDefault="007F6976">
    <w:pPr>
      <w:pStyle w:val="Pieddepage"/>
      <w:tabs>
        <w:tab w:val="left" w:pos="7880"/>
        <w:tab w:val="right" w:pos="9639"/>
      </w:tabs>
      <w:ind w:right="-1"/>
      <w:rPr>
        <w:b/>
        <w:color w:val="0000FF"/>
        <w:sz w:val="18"/>
        <w:szCs w:val="18"/>
      </w:rPr>
    </w:pPr>
    <w:r>
      <w:rPr>
        <w:b/>
        <w:color w:val="0000FF"/>
        <w:sz w:val="18"/>
        <w:szCs w:val="18"/>
      </w:rPr>
      <w:t>Formation complémentaire des Secouristes-ambulanciers (AMU) en vue de l’obtention du titre d’Ambulancier de Transport Non Urgent de Patients (ATNUP) (Convention)</w:t>
    </w:r>
  </w:p>
  <w:p w14:paraId="67B447B7" w14:textId="77777777" w:rsidR="00B84655" w:rsidRDefault="007F6976">
    <w:pPr>
      <w:pStyle w:val="Pieddepage"/>
      <w:tabs>
        <w:tab w:val="clear" w:pos="9072"/>
        <w:tab w:val="left" w:pos="7880"/>
        <w:tab w:val="right" w:pos="9639"/>
      </w:tabs>
      <w:ind w:right="-1"/>
      <w:rPr>
        <w:color w:val="0000FF"/>
        <w:sz w:val="18"/>
        <w:szCs w:val="18"/>
      </w:rPr>
    </w:pPr>
    <w:r>
      <w:rPr>
        <w:color w:val="0000FF"/>
        <w:sz w:val="18"/>
        <w:szCs w:val="18"/>
      </w:rPr>
      <w:tab/>
      <w:t xml:space="preserve">Page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PAGE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2</w:t>
    </w:r>
    <w:r>
      <w:rPr>
        <w:color w:val="0000FF"/>
        <w:sz w:val="18"/>
        <w:szCs w:val="18"/>
      </w:rPr>
      <w:fldChar w:fldCharType="end"/>
    </w:r>
    <w:r>
      <w:rPr>
        <w:color w:val="0000FF"/>
        <w:sz w:val="18"/>
        <w:szCs w:val="18"/>
      </w:rPr>
      <w:t xml:space="preserve"> sur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NUMPAGES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6</w:t>
    </w:r>
    <w:r>
      <w:rPr>
        <w:color w:val="0000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5372" w14:textId="77777777" w:rsidR="00B84655" w:rsidRDefault="007F6976">
      <w:r>
        <w:separator/>
      </w:r>
    </w:p>
  </w:footnote>
  <w:footnote w:type="continuationSeparator" w:id="0">
    <w:p w14:paraId="5CC3B19C" w14:textId="77777777" w:rsidR="00B84655" w:rsidRDefault="007F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A22"/>
    <w:multiLevelType w:val="multilevel"/>
    <w:tmpl w:val="54605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FE43E4E"/>
    <w:multiLevelType w:val="hybridMultilevel"/>
    <w:tmpl w:val="09541CFE"/>
    <w:lvl w:ilvl="0" w:tplc="08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1B577D3C"/>
    <w:multiLevelType w:val="hybridMultilevel"/>
    <w:tmpl w:val="5DD2C976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570D"/>
    <w:multiLevelType w:val="hybridMultilevel"/>
    <w:tmpl w:val="B894A490"/>
    <w:lvl w:ilvl="0" w:tplc="FFFFFFFF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42B5"/>
    <w:multiLevelType w:val="hybridMultilevel"/>
    <w:tmpl w:val="D42E6172"/>
    <w:lvl w:ilvl="0" w:tplc="DD00CF98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2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307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D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C4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E0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67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363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742C"/>
    <w:multiLevelType w:val="hybridMultilevel"/>
    <w:tmpl w:val="EF9A8922"/>
    <w:lvl w:ilvl="0" w:tplc="FFFFFFFF">
      <w:numFmt w:val="bullet"/>
      <w:lvlText w:val=""/>
      <w:lvlJc w:val="left"/>
      <w:pPr>
        <w:ind w:left="10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"/>
      <w:lvlJc w:val="left"/>
      <w:pPr>
        <w:ind w:left="149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CC053B"/>
    <w:multiLevelType w:val="hybridMultilevel"/>
    <w:tmpl w:val="9F6ECB54"/>
    <w:lvl w:ilvl="0" w:tplc="DD00CF98">
      <w:numFmt w:val="bullet"/>
      <w:lvlText w:val="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137A5F"/>
    <w:multiLevelType w:val="hybridMultilevel"/>
    <w:tmpl w:val="E2F6B272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E72CB6"/>
    <w:multiLevelType w:val="multilevel"/>
    <w:tmpl w:val="C188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55"/>
    <w:rsid w:val="007F6976"/>
    <w:rsid w:val="00B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D6576"/>
  <w15:docId w15:val="{1D762A0C-6449-4C75-B364-F77FEF9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/>
    </w:pPr>
    <w:rPr>
      <w:i/>
      <w:iCs/>
    </w:rPr>
  </w:style>
  <w:style w:type="paragraph" w:styleId="Notedebasdepage">
    <w:name w:val="footnote text"/>
    <w:basedOn w:val="Normal"/>
    <w:semiHidden/>
    <w:pPr>
      <w:autoSpaceDE/>
      <w:autoSpaceDN/>
    </w:pPr>
    <w:rPr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autoSpaceDE/>
      <w:autoSpaceDN/>
    </w:pPr>
    <w:rPr>
      <w:szCs w:val="20"/>
    </w:rPr>
  </w:style>
  <w:style w:type="paragraph" w:styleId="Retraitcorpsdetexte2">
    <w:name w:val="Body Text Indent 2"/>
    <w:basedOn w:val="Normal"/>
    <w:semiHidden/>
    <w:pPr>
      <w:ind w:left="426"/>
      <w:jc w:val="both"/>
    </w:pPr>
  </w:style>
  <w:style w:type="paragraph" w:styleId="Retraitcorpsdetexte3">
    <w:name w:val="Body Text Indent 3"/>
    <w:basedOn w:val="Normal"/>
    <w:semiHidden/>
    <w:pPr>
      <w:spacing w:before="120" w:after="120"/>
      <w:ind w:left="425"/>
    </w:pPr>
    <w:rPr>
      <w:i/>
      <w:iCs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72"/>
    <w:qFormat/>
    <w:pPr>
      <w:ind w:left="708"/>
    </w:pPr>
  </w:style>
  <w:style w:type="character" w:customStyle="1" w:styleId="PieddepageCar">
    <w:name w:val="Pied de page Car"/>
    <w:link w:val="Pieddepage"/>
    <w:rPr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46E8D-0827-457B-AC75-5F801032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7307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Sp-eps-cpeons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LOGNARD</dc:creator>
  <cp:lastModifiedBy>Tatiana  VANDER STOCK</cp:lastModifiedBy>
  <cp:revision>2</cp:revision>
  <cp:lastPrinted>2002-09-10T06:42:00Z</cp:lastPrinted>
  <dcterms:created xsi:type="dcterms:W3CDTF">2022-01-10T09:57:00Z</dcterms:created>
  <dcterms:modified xsi:type="dcterms:W3CDTF">2022-01-10T09:57:00Z</dcterms:modified>
</cp:coreProperties>
</file>