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jc w:val="right"/>
        <w:rPr>
          <w:rFonts w:ascii="Times New Roman" w:hAnsi="Times New Roman" w:cs="Times New Roman"/>
          <w:noProof w:val="0"/>
          <w:lang w:val="fr-FR"/>
        </w:rPr>
      </w:pPr>
    </w:p>
    <w:p>
      <w:pPr>
        <w:pStyle w:val="Texte"/>
        <w:jc w:val="center"/>
        <w:outlineLvl w:val="0"/>
        <w:rPr>
          <w:rFonts w:ascii="Times New Roman" w:hAnsi="Times New Roman"/>
          <w:b/>
          <w:noProof w:val="0"/>
          <w:sz w:val="22"/>
          <w:lang w:val="fr-BE"/>
        </w:rPr>
      </w:pPr>
      <w:bookmarkStart w:id="0" w:name="_Hlk536453327"/>
      <w:bookmarkStart w:id="1" w:name="_Hlk536609412"/>
      <w:r>
        <w:rPr>
          <w:rFonts w:ascii="Times New Roman" w:hAnsi="Times New Roman"/>
          <w:b/>
          <w:noProof w:val="0"/>
          <w:sz w:val="22"/>
          <w:lang w:val="fr-BE"/>
        </w:rPr>
        <w:t>MINISTERE DE LA COMMUNAUTE FRANCAISE</w:t>
      </w: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  <w:lang w:val="fr-BE"/>
        </w:rPr>
      </w:pPr>
    </w:p>
    <w:p>
      <w:pPr>
        <w:pStyle w:val="Texte"/>
        <w:jc w:val="center"/>
        <w:outlineLvl w:val="0"/>
        <w:rPr>
          <w:rFonts w:ascii="Times New Roman" w:hAnsi="Times New Roman"/>
          <w:b/>
          <w:noProof w:val="0"/>
          <w:lang w:val="fr-BE"/>
        </w:rPr>
      </w:pPr>
      <w:r>
        <w:rPr>
          <w:rFonts w:ascii="Times New Roman" w:hAnsi="Times New Roman"/>
          <w:b/>
          <w:noProof w:val="0"/>
          <w:lang w:val="fr-BE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noProof w:val="0"/>
          <w:sz w:val="22"/>
          <w:lang w:val="fr-BE"/>
        </w:rPr>
      </w:pPr>
    </w:p>
    <w:p>
      <w:pPr>
        <w:pStyle w:val="Texte"/>
        <w:jc w:val="center"/>
        <w:outlineLvl w:val="0"/>
        <w:rPr>
          <w:rFonts w:ascii="Times New Roman" w:hAnsi="Times New Roman"/>
          <w:b/>
          <w:noProof w:val="0"/>
          <w:sz w:val="22"/>
          <w:lang w:val="fr-BE"/>
        </w:rPr>
      </w:pPr>
      <w:r>
        <w:rPr>
          <w:rFonts w:ascii="Times New Roman" w:hAnsi="Times New Roman"/>
          <w:b/>
          <w:noProof w:val="0"/>
          <w:sz w:val="22"/>
          <w:lang w:val="fr-BE"/>
        </w:rPr>
        <w:t>ENSEIGNEMENT DE PROMOTION SOCIALE</w:t>
      </w: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2"/>
          <w:szCs w:val="22"/>
          <w:lang w:val="fr-BE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8"/>
          <w:lang w:val="fr-BE"/>
        </w:rPr>
      </w:pPr>
      <w:r>
        <w:rPr>
          <w:rFonts w:ascii="Times New Roman" w:hAnsi="Times New Roman"/>
          <w:b/>
          <w:noProof w:val="0"/>
          <w:sz w:val="28"/>
          <w:lang w:val="fr-BE"/>
        </w:rPr>
        <w:t>DOSSIER PEDAGOGIQUE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outlineLvl w:val="0"/>
        <w:rPr>
          <w:b/>
        </w:rPr>
      </w:pPr>
      <w:r>
        <w:rPr>
          <w:b/>
        </w:rPr>
        <w:t>UNITE D’ENSEIGNEMENT</w:t>
      </w:r>
    </w:p>
    <w:p>
      <w:pPr>
        <w:jc w:val="center"/>
      </w:pPr>
    </w:p>
    <w:bookmarkEnd w:id="0"/>
    <w:p>
      <w:pPr>
        <w:jc w:val="center"/>
      </w:pPr>
    </w:p>
    <w:bookmarkEnd w:id="1"/>
    <w:p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Introduction a la comptabilité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Texte"/>
        <w:jc w:val="center"/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  <w:t>ENSEIGNEMENT SUPERIEUR DE TYPE COURT</w:t>
      </w:r>
    </w:p>
    <w:p>
      <w:pPr>
        <w:pStyle w:val="Texte"/>
        <w:jc w:val="center"/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</w:pPr>
    </w:p>
    <w:p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Domaine : Sciences économiques et de gestion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  <w:tcBorders>
              <w:top w:val="single" w:sz="6" w:space="0" w:color="auto"/>
              <w:bottom w:val="nil"/>
            </w:tcBorders>
          </w:tcPr>
          <w:p>
            <w:pPr>
              <w:pStyle w:val="Texte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</w:pPr>
          </w:p>
          <w:p>
            <w:pPr>
              <w:pStyle w:val="Texte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  <w:t>CODE : 711000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  <w:t>U32D1</w:t>
            </w:r>
          </w:p>
        </w:tc>
      </w:tr>
      <w:t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exte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  <w:t>CODE DU DOMAINE DE FORMATION : 702</w:t>
            </w:r>
          </w:p>
        </w:tc>
      </w:tr>
      <w:tr>
        <w:tc>
          <w:tcPr>
            <w:tcW w:w="5529" w:type="dxa"/>
            <w:tcBorders>
              <w:top w:val="nil"/>
              <w:bottom w:val="single" w:sz="6" w:space="0" w:color="auto"/>
            </w:tcBorders>
          </w:tcPr>
          <w:p>
            <w:pPr>
              <w:pStyle w:val="Texte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  <w:t>DOCUMENT DE REFERENCE INTER-RESEAUX</w:t>
            </w:r>
          </w:p>
          <w:p>
            <w:pPr>
              <w:pStyle w:val="Texte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val="fr-FR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outlineLvl w:val="0"/>
        <w:rPr>
          <w:b/>
        </w:rPr>
      </w:pPr>
      <w:bookmarkStart w:id="3" w:name="_Hlk536453401"/>
      <w:bookmarkStart w:id="4" w:name="_Hlk536609864"/>
      <w:bookmarkStart w:id="5" w:name="_Hlk536609724"/>
      <w:r>
        <w:rPr>
          <w:b/>
        </w:rPr>
        <w:t xml:space="preserve">Approbation du Gouvernement de la Communauté française du 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  <w:vertAlign w:val="superscript"/>
        </w:rPr>
        <w:t>er</w:t>
      </w:r>
      <w:r>
        <w:rPr>
          <w:b/>
          <w:sz w:val="18"/>
          <w:szCs w:val="18"/>
        </w:rPr>
        <w:t xml:space="preserve"> septembre 2021,</w:t>
      </w:r>
    </w:p>
    <w:p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</w:p>
    <w:bookmarkEnd w:id="3"/>
    <w:p>
      <w:pPr>
        <w:pStyle w:val="Texte"/>
        <w:widowControl/>
        <w:rPr>
          <w:lang w:val="fr-BE"/>
        </w:rPr>
      </w:pPr>
      <w:r>
        <w:rPr>
          <w:lang w:val="fr-BE"/>
        </w:rPr>
        <w:br w:type="page"/>
      </w:r>
      <w:bookmarkEnd w:id="4"/>
    </w:p>
    <w:bookmarkEnd w:id="5"/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  <w:tcBorders>
              <w:top w:val="single" w:sz="6" w:space="0" w:color="auto"/>
              <w:bottom w:val="single" w:sz="30" w:space="0" w:color="auto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br w:type="page"/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32"/>
                <w:szCs w:val="32"/>
              </w:rPr>
              <w:t>Introduction a la comptabilité</w:t>
            </w:r>
          </w:p>
          <w:p>
            <w:pPr>
              <w:jc w:val="center"/>
              <w:rPr>
                <w:b/>
                <w:bCs/>
                <w:caps/>
              </w:rPr>
            </w:pPr>
          </w:p>
          <w:p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enseignement superieur de type court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/>
    <w:p/>
    <w:p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FINALITES DE L’UNITE D’ENSEIGNEMENT</w:t>
      </w:r>
    </w:p>
    <w:p/>
    <w:p>
      <w:pPr>
        <w:tabs>
          <w:tab w:val="left" w:pos="851"/>
        </w:tabs>
        <w:ind w:left="425"/>
        <w:rPr>
          <w:b/>
          <w:bCs/>
        </w:rPr>
      </w:pPr>
      <w:r>
        <w:rPr>
          <w:b/>
          <w:bCs/>
        </w:rPr>
        <w:t>1.1.</w:t>
      </w:r>
      <w:r>
        <w:rPr>
          <w:b/>
          <w:bCs/>
        </w:rPr>
        <w:tab/>
        <w:t>Finalités générales</w:t>
      </w:r>
    </w:p>
    <w:p/>
    <w:p>
      <w:pPr>
        <w:ind w:left="851"/>
        <w:jc w:val="both"/>
      </w:pPr>
      <w:r>
        <w:t>Conformément à l’article 7 du décret de la Communauté française du 16 avril 1991 organisant l'enseignement de promotion sociale, cette unité d’enseignement doit :</w:t>
      </w:r>
    </w:p>
    <w:p>
      <w:pPr>
        <w:jc w:val="both"/>
      </w:pPr>
    </w:p>
    <w:p>
      <w:pPr>
        <w:widowControl w:val="0"/>
        <w:numPr>
          <w:ilvl w:val="0"/>
          <w:numId w:val="14"/>
        </w:numPr>
        <w:tabs>
          <w:tab w:val="left" w:pos="936"/>
          <w:tab w:val="left" w:pos="1135"/>
        </w:tabs>
        <w:suppressAutoHyphens/>
        <w:autoSpaceDE/>
        <w:autoSpaceDN/>
        <w:jc w:val="both"/>
      </w:pPr>
      <w:r>
        <w:t>concourir à l’épanouissement individuel en promouvant une meilleure insertion professionnelle, sociale, culturelle et scolaire ;</w:t>
      </w:r>
    </w:p>
    <w:p>
      <w:pPr>
        <w:widowControl w:val="0"/>
        <w:tabs>
          <w:tab w:val="left" w:pos="936"/>
          <w:tab w:val="left" w:pos="1135"/>
        </w:tabs>
        <w:suppressAutoHyphens/>
        <w:autoSpaceDE/>
        <w:autoSpaceDN/>
        <w:ind w:left="851"/>
        <w:jc w:val="both"/>
      </w:pPr>
    </w:p>
    <w:p>
      <w:pPr>
        <w:widowControl w:val="0"/>
        <w:numPr>
          <w:ilvl w:val="0"/>
          <w:numId w:val="14"/>
        </w:numPr>
        <w:tabs>
          <w:tab w:val="left" w:pos="936"/>
          <w:tab w:val="left" w:pos="1135"/>
        </w:tabs>
        <w:suppressAutoHyphens/>
        <w:autoSpaceDE/>
        <w:autoSpaceDN/>
        <w:jc w:val="both"/>
      </w:pPr>
      <w:r>
        <w:t>répondre aux besoins et demandes en formation émanant des entreprises, des administrations, de l’enseignement et d’une manière générale des milieux socio-économiques et culturels.</w:t>
      </w:r>
    </w:p>
    <w:p/>
    <w:p>
      <w:pPr>
        <w:tabs>
          <w:tab w:val="left" w:pos="851"/>
        </w:tabs>
        <w:ind w:left="425"/>
        <w:rPr>
          <w:b/>
          <w:bCs/>
        </w:rPr>
      </w:pPr>
      <w:r>
        <w:rPr>
          <w:b/>
          <w:bCs/>
        </w:rPr>
        <w:t>1.2.</w:t>
      </w:r>
      <w:r>
        <w:rPr>
          <w:b/>
          <w:bCs/>
        </w:rPr>
        <w:tab/>
        <w:t>Finalités particulières</w:t>
      </w:r>
    </w:p>
    <w:p/>
    <w:p>
      <w:pPr>
        <w:pStyle w:val="Titre1"/>
        <w:rPr>
          <w:sz w:val="22"/>
          <w:szCs w:val="22"/>
        </w:rPr>
      </w:pPr>
      <w:r>
        <w:rPr>
          <w:sz w:val="22"/>
          <w:szCs w:val="22"/>
        </w:rPr>
        <w:t>L’unité d’enseignement vise à permettre à l’étudiant :</w:t>
      </w:r>
    </w:p>
    <w:p/>
    <w:p>
      <w:pPr>
        <w:widowControl w:val="0"/>
        <w:numPr>
          <w:ilvl w:val="0"/>
          <w:numId w:val="14"/>
        </w:numPr>
        <w:tabs>
          <w:tab w:val="left" w:pos="936"/>
        </w:tabs>
        <w:suppressAutoHyphens/>
        <w:autoSpaceDE/>
        <w:autoSpaceDN/>
        <w:spacing w:after="120"/>
        <w:jc w:val="both"/>
      </w:pPr>
      <w:r>
        <w:t>de situer l’importance et le rôle du système d’information comptable et financière dans la gestion d’une entreprise ou d’un service public ;</w:t>
      </w:r>
    </w:p>
    <w:p>
      <w:pPr>
        <w:widowControl w:val="0"/>
        <w:numPr>
          <w:ilvl w:val="0"/>
          <w:numId w:val="14"/>
        </w:numPr>
        <w:suppressAutoHyphens/>
        <w:autoSpaceDE/>
        <w:autoSpaceDN/>
        <w:spacing w:after="120"/>
        <w:jc w:val="both"/>
      </w:pPr>
      <w:r>
        <w:t>de décrire les rubriques des comptes annuels ;</w:t>
      </w:r>
    </w:p>
    <w:p>
      <w:pPr>
        <w:widowControl w:val="0"/>
        <w:numPr>
          <w:ilvl w:val="0"/>
          <w:numId w:val="14"/>
        </w:numPr>
        <w:tabs>
          <w:tab w:val="left" w:pos="936"/>
        </w:tabs>
        <w:suppressAutoHyphens/>
        <w:autoSpaceDE/>
        <w:autoSpaceDN/>
        <w:spacing w:after="120"/>
        <w:jc w:val="both"/>
      </w:pPr>
      <w:r>
        <w:t>d’identifier les concepts fondamentaux de la comptabilité générale, tant en termes de procédures que de règles légales ;</w:t>
      </w:r>
    </w:p>
    <w:p>
      <w:pPr>
        <w:widowControl w:val="0"/>
        <w:numPr>
          <w:ilvl w:val="0"/>
          <w:numId w:val="14"/>
        </w:numPr>
        <w:suppressAutoHyphens/>
        <w:autoSpaceDE/>
        <w:autoSpaceDN/>
        <w:spacing w:after="120"/>
        <w:jc w:val="both"/>
      </w:pPr>
      <w:r>
        <w:t xml:space="preserve">de porter un regard critique sur le diagnostic financier d'une entreprise donnée ou d’un service public. </w:t>
      </w:r>
    </w:p>
    <w:p>
      <w:pPr>
        <w:jc w:val="both"/>
      </w:pPr>
    </w:p>
    <w:p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CAPACITES PREALABLES REQUISES</w:t>
      </w:r>
    </w:p>
    <w:p>
      <w:pPr>
        <w:autoSpaceDE/>
        <w:autoSpaceDN/>
        <w:rPr>
          <w:szCs w:val="20"/>
        </w:rPr>
      </w:pPr>
    </w:p>
    <w:p>
      <w:pPr>
        <w:tabs>
          <w:tab w:val="left" w:pos="851"/>
        </w:tabs>
        <w:ind w:left="425"/>
        <w:rPr>
          <w:b/>
          <w:bCs/>
        </w:rPr>
      </w:pPr>
      <w:r>
        <w:rPr>
          <w:b/>
          <w:bCs/>
        </w:rPr>
        <w:t>2.1.</w:t>
      </w:r>
      <w:r>
        <w:rPr>
          <w:b/>
          <w:bCs/>
        </w:rPr>
        <w:tab/>
        <w:t>Capacités</w:t>
      </w:r>
    </w:p>
    <w:p>
      <w:pPr>
        <w:autoSpaceDE/>
        <w:autoSpaceDN/>
        <w:rPr>
          <w:szCs w:val="20"/>
        </w:rPr>
      </w:pPr>
    </w:p>
    <w:p>
      <w:pPr>
        <w:autoSpaceDE/>
        <w:autoSpaceDN/>
        <w:ind w:left="851"/>
        <w:rPr>
          <w:b/>
          <w:szCs w:val="20"/>
        </w:rPr>
      </w:pPr>
      <w:r>
        <w:rPr>
          <w:b/>
          <w:szCs w:val="20"/>
        </w:rPr>
        <w:t>En français :</w:t>
      </w:r>
    </w:p>
    <w:p>
      <w:pPr>
        <w:numPr>
          <w:ilvl w:val="0"/>
          <w:numId w:val="13"/>
        </w:numPr>
        <w:autoSpaceDE/>
        <w:autoSpaceDN/>
        <w:rPr>
          <w:szCs w:val="20"/>
        </w:rPr>
      </w:pPr>
      <w:r>
        <w:rPr>
          <w:szCs w:val="20"/>
        </w:rPr>
        <w:t>résumer les idées essentielles d’un texte d’intérêt général, les critiquer ;</w:t>
      </w:r>
    </w:p>
    <w:p>
      <w:pPr>
        <w:numPr>
          <w:ilvl w:val="0"/>
          <w:numId w:val="13"/>
        </w:numPr>
        <w:autoSpaceDE/>
        <w:autoSpaceDN/>
        <w:rPr>
          <w:szCs w:val="20"/>
        </w:rPr>
      </w:pPr>
      <w:r>
        <w:rPr>
          <w:szCs w:val="20"/>
        </w:rPr>
        <w:t>produire un message structuré qui exprime un avis, une prise de position devant un fait, un événement, ... (des documents d’informations pouvant être mis à sa disposition).</w:t>
      </w:r>
    </w:p>
    <w:p>
      <w:pPr>
        <w:autoSpaceDE/>
        <w:autoSpaceDN/>
        <w:ind w:left="851"/>
        <w:rPr>
          <w:b/>
          <w:szCs w:val="20"/>
        </w:rPr>
      </w:pPr>
    </w:p>
    <w:p>
      <w:pPr>
        <w:autoSpaceDE/>
        <w:autoSpaceDN/>
        <w:ind w:left="851"/>
        <w:rPr>
          <w:b/>
          <w:szCs w:val="20"/>
        </w:rPr>
      </w:pPr>
      <w:r>
        <w:rPr>
          <w:b/>
          <w:szCs w:val="20"/>
        </w:rPr>
        <w:t>En mathématiques:</w:t>
      </w:r>
    </w:p>
    <w:p>
      <w:pPr>
        <w:numPr>
          <w:ilvl w:val="0"/>
          <w:numId w:val="13"/>
        </w:numPr>
        <w:autoSpaceDE/>
        <w:autoSpaceDN/>
        <w:rPr>
          <w:szCs w:val="20"/>
        </w:rPr>
      </w:pPr>
      <w:r>
        <w:rPr>
          <w:szCs w:val="20"/>
        </w:rPr>
        <w:t>traiter un problème en utilisant un tableau de nombres, un graphique ou une formule ;</w:t>
      </w:r>
    </w:p>
    <w:p>
      <w:pPr>
        <w:numPr>
          <w:ilvl w:val="0"/>
          <w:numId w:val="13"/>
        </w:numPr>
        <w:autoSpaceDE/>
        <w:autoSpaceDN/>
        <w:rPr>
          <w:szCs w:val="20"/>
        </w:rPr>
      </w:pPr>
      <w:r>
        <w:rPr>
          <w:szCs w:val="20"/>
        </w:rPr>
        <w:t>calculer des valeurs caractéristiques d’un ensemble de données statistiques ;</w:t>
      </w:r>
    </w:p>
    <w:p>
      <w:pPr>
        <w:numPr>
          <w:ilvl w:val="0"/>
          <w:numId w:val="13"/>
        </w:numPr>
        <w:autoSpaceDE/>
        <w:autoSpaceDN/>
        <w:rPr>
          <w:szCs w:val="20"/>
        </w:rPr>
      </w:pPr>
      <w:r>
        <w:rPr>
          <w:szCs w:val="20"/>
        </w:rPr>
        <w:t>interpréter et critiquer la portée des informations graphiques et numériques.</w:t>
      </w:r>
    </w:p>
    <w:p>
      <w:pPr>
        <w:autoSpaceDE/>
        <w:autoSpaceDN/>
        <w:ind w:left="1134"/>
        <w:rPr>
          <w:szCs w:val="20"/>
        </w:rPr>
      </w:pPr>
    </w:p>
    <w:p>
      <w:pPr>
        <w:tabs>
          <w:tab w:val="left" w:pos="851"/>
        </w:tabs>
        <w:ind w:left="425"/>
        <w:rPr>
          <w:b/>
          <w:bCs/>
        </w:rPr>
      </w:pPr>
      <w:r>
        <w:rPr>
          <w:b/>
          <w:bCs/>
        </w:rPr>
        <w:t>2.2.</w:t>
      </w:r>
      <w:r>
        <w:rPr>
          <w:b/>
          <w:bCs/>
        </w:rPr>
        <w:tab/>
        <w:t>Titre pouvant en tenir lieu</w:t>
      </w:r>
    </w:p>
    <w:p>
      <w:pPr>
        <w:keepNext/>
        <w:autoSpaceDE/>
        <w:autoSpaceDN/>
        <w:ind w:left="851"/>
        <w:outlineLvl w:val="4"/>
        <w:rPr>
          <w:b/>
          <w:szCs w:val="20"/>
        </w:rPr>
      </w:pPr>
    </w:p>
    <w:p>
      <w:pPr>
        <w:pStyle w:val="Titre1"/>
        <w:rPr>
          <w:sz w:val="22"/>
          <w:szCs w:val="22"/>
        </w:rPr>
      </w:pPr>
      <w:r>
        <w:rPr>
          <w:sz w:val="22"/>
          <w:szCs w:val="22"/>
        </w:rPr>
        <w:t>Certificat de l’enseignement secondaire supérieur (C.E.S.S.).</w:t>
      </w:r>
    </w:p>
    <w:p/>
    <w:p/>
    <w:p/>
    <w:p/>
    <w:p/>
    <w:p/>
    <w:p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ACQUIS D’APPRENTISSAGE</w:t>
      </w:r>
    </w:p>
    <w:p/>
    <w:p>
      <w:pPr>
        <w:pStyle w:val="Titre1"/>
        <w:ind w:left="426" w:firstLine="282"/>
        <w:rPr>
          <w:b/>
          <w:bCs/>
        </w:rPr>
      </w:pPr>
      <w:r>
        <w:rPr>
          <w:b/>
          <w:bCs/>
          <w:sz w:val="22"/>
          <w:szCs w:val="22"/>
        </w:rPr>
        <w:t xml:space="preserve">Pour atteindre le seuil de réussite, </w:t>
      </w:r>
      <w:r>
        <w:rPr>
          <w:bCs/>
          <w:sz w:val="22"/>
          <w:szCs w:val="22"/>
        </w:rPr>
        <w:t>l’étudiant sera capable </w:t>
      </w:r>
      <w:r>
        <w:rPr>
          <w:b/>
          <w:bCs/>
          <w:sz w:val="22"/>
          <w:szCs w:val="22"/>
        </w:rPr>
        <w:t>:</w:t>
      </w:r>
    </w:p>
    <w:p/>
    <w:p>
      <w:pPr>
        <w:ind w:left="426" w:firstLine="282"/>
        <w:jc w:val="both"/>
        <w:rPr>
          <w:i/>
          <w:iCs/>
        </w:rPr>
      </w:pPr>
      <w:proofErr w:type="gramStart"/>
      <w:r>
        <w:rPr>
          <w:i/>
          <w:iCs/>
        </w:rPr>
        <w:t>face</w:t>
      </w:r>
      <w:proofErr w:type="gramEnd"/>
      <w:r>
        <w:rPr>
          <w:i/>
          <w:iCs/>
        </w:rPr>
        <w:t xml:space="preserve"> à des situations issues de la vie professionnelle courante, </w:t>
      </w:r>
    </w:p>
    <w:p>
      <w:pPr>
        <w:ind w:left="426" w:firstLine="282"/>
        <w:jc w:val="both"/>
        <w:rPr>
          <w:i/>
          <w:iCs/>
        </w:rPr>
      </w:pPr>
      <w:proofErr w:type="gramStart"/>
      <w:r>
        <w:rPr>
          <w:i/>
          <w:iCs/>
        </w:rPr>
        <w:t>en</w:t>
      </w:r>
      <w:proofErr w:type="gramEnd"/>
      <w:r>
        <w:rPr>
          <w:i/>
          <w:iCs/>
        </w:rPr>
        <w:t xml:space="preserve"> disposant de la documentation usuelle, dont les comptes annuels,</w:t>
      </w:r>
    </w:p>
    <w:p>
      <w:pPr>
        <w:ind w:left="426"/>
        <w:jc w:val="both"/>
      </w:pPr>
    </w:p>
    <w:p>
      <w:pPr>
        <w:numPr>
          <w:ilvl w:val="0"/>
          <w:numId w:val="12"/>
        </w:numPr>
        <w:spacing w:after="120"/>
        <w:ind w:left="993" w:hanging="284"/>
        <w:jc w:val="both"/>
      </w:pPr>
      <w:r>
        <w:t>de décrire et d’expliciter des rubriques du bilan et du compte de résultats ainsi que les règles d’évaluation à appliquer ;</w:t>
      </w:r>
    </w:p>
    <w:p>
      <w:pPr>
        <w:numPr>
          <w:ilvl w:val="0"/>
          <w:numId w:val="12"/>
        </w:numPr>
        <w:spacing w:after="120"/>
        <w:ind w:left="993" w:hanging="284"/>
        <w:jc w:val="both"/>
      </w:pPr>
      <w:r>
        <w:t>d’imputer quelques écritures de base, y compris fiscales (TVA, impôt à payer) et sociales (salaires, ONSS), en appliquant les techniques de la comptabilité en partie double et le P.C.M.N. ;</w:t>
      </w:r>
    </w:p>
    <w:p>
      <w:pPr>
        <w:numPr>
          <w:ilvl w:val="0"/>
          <w:numId w:val="12"/>
        </w:numPr>
        <w:spacing w:after="120"/>
        <w:ind w:left="993" w:hanging="284"/>
        <w:jc w:val="both"/>
      </w:pPr>
      <w:r>
        <w:t>d’expliciter leur impact sur le bilan et le compte de résultat ;</w:t>
      </w:r>
    </w:p>
    <w:p>
      <w:pPr>
        <w:numPr>
          <w:ilvl w:val="0"/>
          <w:numId w:val="12"/>
        </w:numPr>
        <w:spacing w:after="120"/>
        <w:ind w:left="993" w:hanging="284"/>
        <w:jc w:val="both"/>
      </w:pPr>
      <w:r>
        <w:t xml:space="preserve">de présenter les comptes annuels sous forme d’un tableau synthétique (masses </w:t>
      </w:r>
      <w:proofErr w:type="spellStart"/>
      <w:r>
        <w:t>bilantaires</w:t>
      </w:r>
      <w:proofErr w:type="spellEnd"/>
      <w:r>
        <w:t xml:space="preserve"> …).</w:t>
      </w:r>
    </w:p>
    <w:p>
      <w:pPr>
        <w:widowControl w:val="0"/>
        <w:tabs>
          <w:tab w:val="left" w:pos="851"/>
          <w:tab w:val="left" w:pos="1134"/>
        </w:tabs>
        <w:suppressAutoHyphens/>
        <w:autoSpaceDE/>
        <w:autoSpaceDN/>
        <w:ind w:left="708"/>
        <w:jc w:val="both"/>
      </w:pPr>
    </w:p>
    <w:p>
      <w:pPr>
        <w:jc w:val="both"/>
      </w:pPr>
    </w:p>
    <w:p>
      <w:pPr>
        <w:numPr>
          <w:ilvl w:val="12"/>
          <w:numId w:val="0"/>
        </w:numPr>
        <w:ind w:left="426"/>
        <w:jc w:val="both"/>
        <w:rPr>
          <w:b/>
          <w:bCs/>
        </w:rPr>
      </w:pPr>
      <w:r>
        <w:rPr>
          <w:b/>
          <w:bCs/>
        </w:rPr>
        <w:t xml:space="preserve">Pour la détermination du degré de maîtrise, </w:t>
      </w:r>
      <w:r>
        <w:rPr>
          <w:bCs/>
        </w:rPr>
        <w:t>il sera tenu compte :</w:t>
      </w:r>
    </w:p>
    <w:p>
      <w:pPr>
        <w:numPr>
          <w:ilvl w:val="12"/>
          <w:numId w:val="0"/>
        </w:numPr>
        <w:ind w:left="426"/>
        <w:jc w:val="both"/>
      </w:pPr>
    </w:p>
    <w:p>
      <w:pPr>
        <w:numPr>
          <w:ilvl w:val="0"/>
          <w:numId w:val="12"/>
        </w:numPr>
        <w:spacing w:after="120"/>
        <w:ind w:left="709" w:hanging="284"/>
        <w:jc w:val="both"/>
      </w:pPr>
      <w:r>
        <w:t>niveau de précision : la clarté, la concision, la rigueur au niveau de la terminologie, des concepts et des techniques/principes/modèles ;</w:t>
      </w:r>
    </w:p>
    <w:p>
      <w:pPr>
        <w:numPr>
          <w:ilvl w:val="0"/>
          <w:numId w:val="12"/>
        </w:numPr>
        <w:spacing w:after="120"/>
        <w:ind w:left="709" w:hanging="284"/>
        <w:jc w:val="both"/>
      </w:pPr>
      <w:r>
        <w:t>niveau de cohérence : la capacité à établir avec pertinence une majorité de liens logiques pour former un ensemble organisé ;</w:t>
      </w:r>
    </w:p>
    <w:p>
      <w:pPr>
        <w:numPr>
          <w:ilvl w:val="0"/>
          <w:numId w:val="12"/>
        </w:numPr>
        <w:spacing w:after="120"/>
        <w:ind w:left="709" w:hanging="284"/>
        <w:jc w:val="both"/>
      </w:pPr>
      <w:r>
        <w:t>niveau d’intégration : la capacité à s’approprier des notions, concepts, techniques et démarches en les intégrant dans son analyse, son argumentation, sa pratique ou la recherche de solutions ;</w:t>
      </w:r>
    </w:p>
    <w:p>
      <w:pPr>
        <w:numPr>
          <w:ilvl w:val="0"/>
          <w:numId w:val="12"/>
        </w:numPr>
        <w:spacing w:after="120"/>
        <w:ind w:left="709" w:hanging="284"/>
        <w:jc w:val="both"/>
      </w:pPr>
      <w:r>
        <w:t>niveau d’autonomie : la capacité de faire preuve d’initiatives démontrant une réflexion personnelle basée sur une exploitation des ressources et des idées en interdépendance avec son environnement.</w:t>
      </w:r>
    </w:p>
    <w:p/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PROGRAMME</w:t>
      </w:r>
    </w:p>
    <w:p/>
    <w:p>
      <w:pPr>
        <w:ind w:left="426" w:firstLine="282"/>
        <w:jc w:val="both"/>
        <w:rPr>
          <w:i/>
          <w:iCs/>
        </w:rPr>
      </w:pPr>
      <w:r>
        <w:rPr>
          <w:i/>
          <w:iCs/>
        </w:rPr>
        <w:t xml:space="preserve">Face à des situations issues de la vie professionnelle courante, </w:t>
      </w:r>
    </w:p>
    <w:p>
      <w:pPr>
        <w:ind w:left="426" w:firstLine="282"/>
        <w:jc w:val="both"/>
        <w:rPr>
          <w:i/>
          <w:iCs/>
        </w:rPr>
      </w:pPr>
      <w:proofErr w:type="gramStart"/>
      <w:r>
        <w:rPr>
          <w:i/>
          <w:iCs/>
        </w:rPr>
        <w:t>en</w:t>
      </w:r>
      <w:proofErr w:type="gramEnd"/>
      <w:r>
        <w:rPr>
          <w:i/>
          <w:iCs/>
        </w:rPr>
        <w:t xml:space="preserve"> disposant de la documentation usuelle, dont les comptes annuels,</w:t>
      </w:r>
    </w:p>
    <w:p>
      <w:pPr>
        <w:jc w:val="both"/>
      </w:pPr>
    </w:p>
    <w:p>
      <w:pPr>
        <w:ind w:left="426" w:firstLine="282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l’étudiant</w:t>
      </w:r>
      <w:proofErr w:type="gramEnd"/>
      <w:r>
        <w:rPr>
          <w:bCs/>
          <w:sz w:val="24"/>
          <w:szCs w:val="24"/>
        </w:rPr>
        <w:t xml:space="preserve"> sera capable :</w:t>
      </w:r>
    </w:p>
    <w:p>
      <w:pPr>
        <w:jc w:val="both"/>
        <w:rPr>
          <w:b/>
          <w:bCs/>
          <w:sz w:val="24"/>
          <w:szCs w:val="24"/>
        </w:rPr>
      </w:pPr>
    </w:p>
    <w:p>
      <w:pPr>
        <w:numPr>
          <w:ilvl w:val="0"/>
          <w:numId w:val="12"/>
        </w:numPr>
        <w:ind w:left="991"/>
        <w:jc w:val="both"/>
      </w:pPr>
      <w:r>
        <w:t>d’appréhender la structure du bilan et du compte de résultat (comptabilité de stock – comptabilité de flux) ;</w:t>
      </w:r>
    </w:p>
    <w:p>
      <w:pPr>
        <w:numPr>
          <w:ilvl w:val="0"/>
          <w:numId w:val="12"/>
        </w:numPr>
        <w:ind w:left="991"/>
        <w:jc w:val="both"/>
      </w:pPr>
      <w:r>
        <w:t>d’en décrire et expliciter les rubriques ainsi que les règles d’évaluations à appliquer ;</w:t>
      </w:r>
    </w:p>
    <w:p>
      <w:pPr>
        <w:widowControl w:val="0"/>
        <w:numPr>
          <w:ilvl w:val="0"/>
          <w:numId w:val="12"/>
        </w:numPr>
        <w:suppressAutoHyphens/>
        <w:autoSpaceDE/>
        <w:autoSpaceDN/>
        <w:ind w:left="991" w:hanging="282"/>
        <w:jc w:val="both"/>
      </w:pPr>
      <w:r>
        <w:t>d’acquérir les mécanismes de base de la comptabilité en partie double et des comptes annuels, y compris les opérations de clôture d’un exercice ;</w:t>
      </w:r>
    </w:p>
    <w:p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/>
        <w:autoSpaceDN/>
        <w:ind w:left="709" w:firstLine="1"/>
        <w:jc w:val="both"/>
      </w:pPr>
      <w:r>
        <w:t>d’expliciter le contenu et le fonctionnement du P.C.M.N ;</w:t>
      </w:r>
    </w:p>
    <w:p>
      <w:pPr>
        <w:widowControl w:val="0"/>
        <w:numPr>
          <w:ilvl w:val="0"/>
          <w:numId w:val="12"/>
        </w:numPr>
        <w:suppressAutoHyphens/>
        <w:autoSpaceDE/>
        <w:autoSpaceDN/>
        <w:ind w:left="991" w:hanging="282"/>
        <w:jc w:val="both"/>
      </w:pPr>
      <w:r>
        <w:t>d’acquérir les mécanismes en matière de TVA, d’ISOC et d’IPM (notions de revenus et de base imposable) et leurs implications en comptabilité ;</w:t>
      </w:r>
    </w:p>
    <w:p>
      <w:pPr>
        <w:widowControl w:val="0"/>
        <w:numPr>
          <w:ilvl w:val="0"/>
          <w:numId w:val="12"/>
        </w:numPr>
        <w:suppressAutoHyphens/>
        <w:autoSpaceDE/>
        <w:autoSpaceDN/>
        <w:ind w:left="991" w:hanging="282"/>
        <w:jc w:val="both"/>
      </w:pPr>
      <w:r>
        <w:t>d’imputer quelques écritures de base, y compris les salaires, en montrant leur impact sur le compte de résultat et le bilan.</w:t>
      </w:r>
    </w:p>
    <w:p>
      <w:pPr>
        <w:ind w:left="426"/>
      </w:pPr>
    </w:p>
    <w:p/>
    <w:p>
      <w:pPr>
        <w:ind w:left="-567" w:firstLine="567"/>
        <w:rPr>
          <w:b/>
          <w:bCs/>
        </w:rPr>
      </w:pPr>
      <w:r>
        <w:rPr>
          <w:b/>
          <w:bCs/>
        </w:rPr>
        <w:lastRenderedPageBreak/>
        <w:t>5.    CHARGE(S) DE COURS</w:t>
      </w:r>
    </w:p>
    <w:p/>
    <w:p>
      <w:pPr>
        <w:suppressAutoHyphens/>
        <w:autoSpaceDE/>
        <w:autoSpaceDN/>
        <w:spacing w:before="120"/>
        <w:ind w:firstLine="426"/>
        <w:jc w:val="both"/>
        <w:rPr>
          <w:lang w:eastAsia="ar-SA"/>
        </w:rPr>
      </w:pPr>
      <w:r>
        <w:rPr>
          <w:lang w:eastAsia="ar-SA"/>
        </w:rPr>
        <w:t>Le chargé de cours sera un enseignant ou un expert.</w:t>
      </w:r>
    </w:p>
    <w:p>
      <w:pPr>
        <w:suppressAutoHyphens/>
        <w:autoSpaceDE/>
        <w:autoSpaceDN/>
        <w:spacing w:before="120"/>
        <w:ind w:left="426"/>
        <w:jc w:val="both"/>
        <w:rPr>
          <w:lang w:eastAsia="ar-SA"/>
        </w:rPr>
      </w:pPr>
      <w:r>
        <w:rPr>
          <w:lang w:eastAsia="ar-SA"/>
        </w:rPr>
        <w:t>L’expert devra justifier de compétences particulières issues d’une expérience professionnelle actualisée en relation avec la charge de cours qui lui est attribuée.</w:t>
      </w:r>
    </w:p>
    <w:p>
      <w:pPr>
        <w:ind w:left="426"/>
      </w:pPr>
    </w:p>
    <w:p>
      <w:pPr>
        <w:ind w:left="426"/>
      </w:pPr>
    </w:p>
    <w:p>
      <w:pPr>
        <w:ind w:left="426" w:hanging="426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CONSTITUTION DES GROUPES OU REGROUPEMENT</w:t>
      </w:r>
    </w:p>
    <w:p/>
    <w:p>
      <w:pPr>
        <w:ind w:firstLine="426"/>
        <w:jc w:val="both"/>
      </w:pPr>
      <w:r>
        <w:t>Aucune recommandation particulière.</w:t>
      </w:r>
    </w:p>
    <w:p/>
    <w:p/>
    <w:p>
      <w:pPr>
        <w:ind w:left="426" w:hanging="426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HORAIRE MINIMUM DE L’UNITE D’ENSEIGNEMENT</w:t>
      </w:r>
    </w:p>
    <w:p>
      <w:pPr>
        <w:ind w:left="708" w:hanging="708"/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</w:pPr>
            <w:r>
              <w:t>Classement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</w:pPr>
            <w: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</w:pPr>
            <w:r>
              <w:t>Nombre de périodes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r>
              <w:t>Introduction à la comptabilité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jc w:val="center"/>
            </w:pPr>
            <w:r>
              <w:t>CT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ind w:right="567"/>
              <w:jc w:val="right"/>
            </w:pPr>
            <w:r>
              <w:t>B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>
            <w:pPr>
              <w:ind w:right="567"/>
              <w:jc w:val="right"/>
            </w:pPr>
            <w:r>
              <w:t>40</w:t>
            </w:r>
          </w:p>
        </w:tc>
      </w:tr>
      <w:tr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ind w:right="567"/>
              <w:jc w:val="right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ind w:right="567"/>
              <w:jc w:val="center"/>
            </w:pPr>
            <w:r>
              <w:t xml:space="preserve">             10</w:t>
            </w:r>
          </w:p>
        </w:tc>
      </w:tr>
      <w:t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ind w:right="709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right="567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>
      <w:pPr>
        <w:ind w:firstLine="1"/>
      </w:pPr>
    </w:p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altName w:val="Cambria"/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4536"/>
        <w:tab w:val="center" w:pos="5245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UE Introduction à la comptabilité</w:t>
    </w:r>
    <w:r>
      <w:rPr>
        <w:sz w:val="18"/>
        <w:szCs w:val="18"/>
        <w:lang w:val="fr-BE"/>
      </w:rPr>
      <w:tab/>
    </w:r>
    <w:r>
      <w:rPr>
        <w:sz w:val="18"/>
        <w:szCs w:val="18"/>
        <w:lang w:val="fr-BE"/>
      </w:rPr>
      <w:tab/>
      <w:t xml:space="preserve">Page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PAGE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2</w:t>
    </w:r>
    <w:r>
      <w:rPr>
        <w:sz w:val="18"/>
        <w:szCs w:val="18"/>
        <w:lang w:val="fr-BE"/>
      </w:rPr>
      <w:fldChar w:fldCharType="end"/>
    </w:r>
    <w:r>
      <w:rPr>
        <w:sz w:val="18"/>
        <w:szCs w:val="18"/>
        <w:lang w:val="fr-BE"/>
      </w:rPr>
      <w:t xml:space="preserve"> sur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NUMPAGES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4</w:t>
    </w:r>
    <w:r>
      <w:rPr>
        <w:sz w:val="18"/>
        <w:szCs w:val="18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A8249A"/>
    <w:lvl w:ilvl="0">
      <w:start w:val="1"/>
      <w:numFmt w:val="bullet"/>
      <w:pStyle w:val="dcis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"/>
      <w:lvlJc w:val="left"/>
      <w:pPr>
        <w:tabs>
          <w:tab w:val="num" w:pos="56"/>
        </w:tabs>
        <w:ind w:left="5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56"/>
        </w:tabs>
        <w:ind w:left="5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56"/>
        </w:tabs>
        <w:ind w:left="5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6"/>
        </w:tabs>
        <w:ind w:left="5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6"/>
        </w:tabs>
        <w:ind w:left="5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6"/>
        </w:tabs>
        <w:ind w:left="5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"/>
        </w:tabs>
        <w:ind w:left="5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"/>
        </w:tabs>
        <w:ind w:left="5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6"/>
        </w:tabs>
        <w:ind w:left="56"/>
      </w:pPr>
      <w:rPr>
        <w:rFonts w:ascii="Wingdings" w:hAnsi="Wingdings"/>
      </w:rPr>
    </w:lvl>
  </w:abstractNum>
  <w:abstractNum w:abstractNumId="3" w15:restartNumberingAfterBreak="0">
    <w:nsid w:val="032A2163"/>
    <w:multiLevelType w:val="singleLevel"/>
    <w:tmpl w:val="E156578C"/>
    <w:lvl w:ilvl="0">
      <w:start w:val="1"/>
      <w:numFmt w:val="bullet"/>
      <w:pStyle w:val="1rubriq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4" w15:restartNumberingAfterBreak="0">
    <w:nsid w:val="43072C54"/>
    <w:multiLevelType w:val="singleLevel"/>
    <w:tmpl w:val="E39A2922"/>
    <w:lvl w:ilvl="0">
      <w:numFmt w:val="bullet"/>
      <w:pStyle w:val="PU1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F90141F"/>
    <w:multiLevelType w:val="singleLevel"/>
    <w:tmpl w:val="47A8666A"/>
    <w:lvl w:ilvl="0">
      <w:start w:val="1"/>
      <w:numFmt w:val="decimal"/>
      <w:pStyle w:val="1rubriq0"/>
      <w:lvlText w:val="%1."/>
      <w:lvlJc w:val="left"/>
      <w:pPr>
        <w:tabs>
          <w:tab w:val="num" w:pos="854"/>
        </w:tabs>
        <w:ind w:left="854" w:hanging="570"/>
      </w:pPr>
      <w:rPr>
        <w:rFonts w:cs="Times New Roman" w:hint="default"/>
      </w:rPr>
    </w:lvl>
  </w:abstractNum>
  <w:abstractNum w:abstractNumId="6" w15:restartNumberingAfterBreak="0">
    <w:nsid w:val="52750754"/>
    <w:multiLevelType w:val="singleLevel"/>
    <w:tmpl w:val="2C74BF96"/>
    <w:lvl w:ilvl="0">
      <w:start w:val="1"/>
      <w:numFmt w:val="bullet"/>
      <w:pStyle w:val="PUC3"/>
      <w:lvlText w:val=""/>
      <w:lvlJc w:val="left"/>
      <w:pPr>
        <w:tabs>
          <w:tab w:val="num" w:pos="1494"/>
        </w:tabs>
        <w:ind w:left="851" w:firstLine="283"/>
      </w:pPr>
      <w:rPr>
        <w:rFonts w:ascii="Symbol" w:hAnsi="Symbol" w:hint="default"/>
        <w:color w:val="auto"/>
        <w:sz w:val="14"/>
      </w:rPr>
    </w:lvl>
  </w:abstractNum>
  <w:abstractNum w:abstractNumId="7" w15:restartNumberingAfterBreak="0">
    <w:nsid w:val="53ED6C49"/>
    <w:multiLevelType w:val="hybridMultilevel"/>
    <w:tmpl w:val="C96E06A8"/>
    <w:lvl w:ilvl="0" w:tplc="98AEBB0E">
      <w:start w:val="1"/>
      <w:numFmt w:val="bullet"/>
      <w:lvlText w:val="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8" w15:restartNumberingAfterBreak="0">
    <w:nsid w:val="57994685"/>
    <w:multiLevelType w:val="singleLevel"/>
    <w:tmpl w:val="64B2646A"/>
    <w:lvl w:ilvl="0">
      <w:start w:val="1"/>
      <w:numFmt w:val="decimal"/>
      <w:pStyle w:val="LISTNUM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A8906AB"/>
    <w:multiLevelType w:val="singleLevel"/>
    <w:tmpl w:val="BDC02508"/>
    <w:lvl w:ilvl="0">
      <w:start w:val="1"/>
      <w:numFmt w:val="bullet"/>
      <w:pStyle w:val="PUC4"/>
      <w:lvlText w:val=""/>
      <w:lvlJc w:val="left"/>
      <w:pPr>
        <w:tabs>
          <w:tab w:val="num" w:pos="1494"/>
        </w:tabs>
        <w:ind w:left="851" w:firstLine="283"/>
      </w:pPr>
      <w:rPr>
        <w:rFonts w:ascii="Symbol" w:hAnsi="Symbol" w:hint="default"/>
        <w:color w:val="auto"/>
        <w:sz w:val="10"/>
      </w:rPr>
    </w:lvl>
  </w:abstractNum>
  <w:abstractNum w:abstractNumId="10" w15:restartNumberingAfterBreak="0">
    <w:nsid w:val="697C0889"/>
    <w:multiLevelType w:val="singleLevel"/>
    <w:tmpl w:val="979CE490"/>
    <w:lvl w:ilvl="0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1" w15:restartNumberingAfterBreak="0">
    <w:nsid w:val="75824D06"/>
    <w:multiLevelType w:val="singleLevel"/>
    <w:tmpl w:val="F61E7994"/>
    <w:lvl w:ilvl="0">
      <w:start w:val="1"/>
      <w:numFmt w:val="bullet"/>
      <w:pStyle w:val="pu1ga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7E112771"/>
    <w:multiLevelType w:val="singleLevel"/>
    <w:tmpl w:val="A872C86E"/>
    <w:lvl w:ilvl="0">
      <w:start w:val="1"/>
      <w:numFmt w:val="decimal"/>
      <w:pStyle w:val="listnumscn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F4A1908"/>
    <w:multiLevelType w:val="singleLevel"/>
    <w:tmpl w:val="2416E2F6"/>
    <w:lvl w:ilvl="0">
      <w:start w:val="1"/>
      <w:numFmt w:val="decimal"/>
      <w:pStyle w:val="puc3i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938" w:hanging="283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470F2A9-A5C1-42D1-9555-5386BFB3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ind w:left="851"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jc w:val="center"/>
      <w:outlineLvl w:val="1"/>
    </w:pPr>
    <w:rPr>
      <w:b/>
      <w:b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FR" w:eastAsia="fr-FR"/>
    </w:rPr>
  </w:style>
  <w:style w:type="paragraph" w:customStyle="1" w:styleId="dbut1">
    <w:name w:val="début1"/>
    <w:basedOn w:val="Normal"/>
    <w:autoRedefine/>
    <w:uiPriority w:val="99"/>
    <w:pPr>
      <w:spacing w:before="120" w:after="120"/>
      <w:ind w:left="851"/>
      <w:jc w:val="both"/>
    </w:pPr>
  </w:style>
  <w:style w:type="paragraph" w:customStyle="1" w:styleId="PU1">
    <w:name w:val="PU1"/>
    <w:basedOn w:val="Normal"/>
    <w:autoRedefine/>
    <w:uiPriority w:val="99"/>
    <w:pPr>
      <w:numPr>
        <w:numId w:val="9"/>
      </w:numPr>
      <w:tabs>
        <w:tab w:val="num" w:pos="854"/>
      </w:tabs>
      <w:spacing w:before="120"/>
      <w:jc w:val="both"/>
    </w:pPr>
  </w:style>
  <w:style w:type="paragraph" w:customStyle="1" w:styleId="PUC2">
    <w:name w:val="PUC2"/>
    <w:basedOn w:val="Normal"/>
    <w:uiPriority w:val="99"/>
    <w:pPr>
      <w:tabs>
        <w:tab w:val="decimal" w:pos="1418"/>
      </w:tabs>
    </w:pPr>
  </w:style>
  <w:style w:type="paragraph" w:customStyle="1" w:styleId="PUC3">
    <w:name w:val="PUC3"/>
    <w:basedOn w:val="Normal"/>
    <w:autoRedefine/>
    <w:uiPriority w:val="99"/>
    <w:pPr>
      <w:numPr>
        <w:numId w:val="3"/>
      </w:numPr>
      <w:tabs>
        <w:tab w:val="clear" w:pos="1494"/>
        <w:tab w:val="num" w:pos="360"/>
        <w:tab w:val="decimal" w:pos="1701"/>
      </w:tabs>
      <w:ind w:left="1701" w:hanging="283"/>
      <w:jc w:val="both"/>
    </w:pPr>
  </w:style>
  <w:style w:type="paragraph" w:customStyle="1" w:styleId="contex">
    <w:name w:val="contex"/>
    <w:basedOn w:val="dbut1"/>
    <w:autoRedefine/>
    <w:uiPriority w:val="99"/>
  </w:style>
  <w:style w:type="paragraph" w:customStyle="1" w:styleId="listnumscnar">
    <w:name w:val="listnumscénar"/>
    <w:basedOn w:val="Normal"/>
    <w:autoRedefine/>
    <w:uiPriority w:val="99"/>
    <w:pPr>
      <w:numPr>
        <w:numId w:val="4"/>
      </w:numPr>
    </w:pPr>
  </w:style>
  <w:style w:type="paragraph" w:customStyle="1" w:styleId="contexpu1">
    <w:name w:val="contexpu1"/>
    <w:basedOn w:val="PU1"/>
    <w:autoRedefine/>
    <w:uiPriority w:val="99"/>
    <w:rPr>
      <w:i/>
      <w:iCs/>
    </w:rPr>
  </w:style>
  <w:style w:type="paragraph" w:customStyle="1" w:styleId="PUC4">
    <w:name w:val="PUC4"/>
    <w:basedOn w:val="PUC3"/>
    <w:autoRedefine/>
    <w:uiPriority w:val="99"/>
    <w:pPr>
      <w:numPr>
        <w:numId w:val="5"/>
      </w:numPr>
      <w:tabs>
        <w:tab w:val="clear" w:pos="1701"/>
      </w:tabs>
    </w:pPr>
  </w:style>
  <w:style w:type="paragraph" w:customStyle="1" w:styleId="dcision">
    <w:name w:val="décision"/>
    <w:basedOn w:val="Normal"/>
    <w:autoRedefine/>
    <w:uiPriority w:val="9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  <w:tab w:val="left" w:pos="851"/>
        <w:tab w:val="num" w:pos="1211"/>
        <w:tab w:val="num" w:pos="1494"/>
      </w:tabs>
      <w:spacing w:before="120" w:after="120"/>
      <w:jc w:val="both"/>
    </w:pPr>
    <w:rPr>
      <w:b/>
      <w:bCs/>
    </w:rPr>
  </w:style>
  <w:style w:type="paragraph" w:customStyle="1" w:styleId="1rubriq">
    <w:name w:val="1.rubriq"/>
    <w:basedOn w:val="dbut1"/>
    <w:next w:val="dbut1"/>
    <w:autoRedefine/>
    <w:uiPriority w:val="99"/>
    <w:pPr>
      <w:numPr>
        <w:numId w:val="2"/>
      </w:numPr>
      <w:tabs>
        <w:tab w:val="clear" w:pos="360"/>
        <w:tab w:val="num" w:pos="1211"/>
        <w:tab w:val="num" w:pos="1494"/>
      </w:tabs>
    </w:pPr>
    <w:rPr>
      <w:b/>
      <w:bCs/>
      <w:i/>
      <w:iCs/>
    </w:rPr>
  </w:style>
  <w:style w:type="paragraph" w:customStyle="1" w:styleId="pu1ga">
    <w:name w:val="pu1ga"/>
    <w:basedOn w:val="Corpsdetexte"/>
    <w:autoRedefine/>
    <w:uiPriority w:val="99"/>
    <w:pPr>
      <w:numPr>
        <w:numId w:val="8"/>
      </w:numPr>
      <w:tabs>
        <w:tab w:val="decimal" w:pos="851"/>
      </w:tabs>
    </w:pPr>
    <w:rPr>
      <w:rFonts w:ascii="Garamond" w:hAnsi="Garamond" w:cs="Garamond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lang w:val="fr-FR" w:eastAsia="fr-FR"/>
    </w:rPr>
  </w:style>
  <w:style w:type="paragraph" w:customStyle="1" w:styleId="PUC1">
    <w:name w:val="PUC1"/>
    <w:basedOn w:val="Normal"/>
    <w:autoRedefine/>
    <w:uiPriority w:val="99"/>
    <w:pPr>
      <w:jc w:val="both"/>
    </w:pPr>
  </w:style>
  <w:style w:type="paragraph" w:customStyle="1" w:styleId="1rubriq0">
    <w:name w:val="1rubriq"/>
    <w:basedOn w:val="dbut1"/>
    <w:next w:val="dbut1"/>
    <w:autoRedefine/>
    <w:uiPriority w:val="99"/>
    <w:pPr>
      <w:numPr>
        <w:numId w:val="10"/>
      </w:numPr>
    </w:pPr>
    <w:rPr>
      <w:b/>
      <w:bCs/>
      <w:i/>
      <w:iCs/>
      <w:caps/>
    </w:rPr>
  </w:style>
  <w:style w:type="paragraph" w:customStyle="1" w:styleId="cours">
    <w:name w:val="cours"/>
    <w:basedOn w:val="Normal"/>
    <w:autoRedefine/>
    <w:uiPriority w:val="99"/>
    <w:pPr>
      <w:ind w:left="567"/>
      <w:jc w:val="both"/>
    </w:pPr>
    <w:rPr>
      <w:b/>
      <w:bCs/>
      <w:caps/>
      <w:u w:val="single"/>
    </w:rPr>
  </w:style>
  <w:style w:type="paragraph" w:customStyle="1" w:styleId="LISTNUM2">
    <w:name w:val="LISTNUM2"/>
    <w:basedOn w:val="Listepuces"/>
    <w:autoRedefine/>
    <w:uiPriority w:val="99"/>
    <w:pPr>
      <w:numPr>
        <w:numId w:val="11"/>
      </w:numPr>
      <w:tabs>
        <w:tab w:val="left" w:pos="1418"/>
      </w:tabs>
    </w:pPr>
    <w:rPr>
      <w:i/>
      <w:iCs/>
    </w:rPr>
  </w:style>
  <w:style w:type="paragraph" w:styleId="Listepuces">
    <w:name w:val="List Bullet"/>
    <w:basedOn w:val="Normal"/>
    <w:autoRedefine/>
    <w:uiPriority w:val="99"/>
    <w:pPr>
      <w:numPr>
        <w:numId w:val="6"/>
      </w:numPr>
      <w:tabs>
        <w:tab w:val="clear" w:pos="360"/>
        <w:tab w:val="num" w:pos="927"/>
      </w:tabs>
    </w:pPr>
  </w:style>
  <w:style w:type="paragraph" w:customStyle="1" w:styleId="puc2ita">
    <w:name w:val="puc2ita"/>
    <w:basedOn w:val="PUC2"/>
    <w:autoRedefine/>
    <w:uiPriority w:val="99"/>
    <w:pPr>
      <w:tabs>
        <w:tab w:val="clear" w:pos="1418"/>
      </w:tabs>
    </w:pPr>
    <w:rPr>
      <w:i/>
      <w:iCs/>
    </w:rPr>
  </w:style>
  <w:style w:type="paragraph" w:customStyle="1" w:styleId="puc3ita">
    <w:name w:val="puc3ita"/>
    <w:basedOn w:val="puc2ita"/>
    <w:autoRedefine/>
    <w:uiPriority w:val="99"/>
    <w:pPr>
      <w:numPr>
        <w:numId w:val="7"/>
      </w:numPr>
      <w:tabs>
        <w:tab w:val="clear" w:pos="360"/>
        <w:tab w:val="num" w:pos="927"/>
        <w:tab w:val="num" w:pos="1211"/>
      </w:tabs>
    </w:pPr>
  </w:style>
  <w:style w:type="paragraph" w:customStyle="1" w:styleId="Texte">
    <w:name w:val="Texte"/>
    <w:basedOn w:val="Normal"/>
    <w:pPr>
      <w:widowControl w:val="0"/>
    </w:pPr>
    <w:rPr>
      <w:rFonts w:ascii="MS Serif" w:hAnsi="MS Serif" w:cs="MS Serif"/>
      <w:noProof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lang w:val="fr-FR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365F91" w:themeColor="accent1" w:themeShade="BF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27D1-9FA1-4711-8399-DC907D92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Secrétariat permanent E.P.S.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Nicole Lognard</dc:creator>
  <cp:lastModifiedBy>goulet02</cp:lastModifiedBy>
  <cp:revision>16</cp:revision>
  <cp:lastPrinted>2021-01-20T08:39:00Z</cp:lastPrinted>
  <dcterms:created xsi:type="dcterms:W3CDTF">2020-01-29T15:00:00Z</dcterms:created>
  <dcterms:modified xsi:type="dcterms:W3CDTF">2021-10-14T15:06:00Z</dcterms:modified>
</cp:coreProperties>
</file>